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C1BCC" w14:textId="77777777" w:rsidR="00134B47" w:rsidRPr="00DB08F8" w:rsidRDefault="00134B47" w:rsidP="00F61809">
      <w:pPr>
        <w:pStyle w:val="BodyText"/>
        <w:ind w:left="284"/>
        <w:rPr>
          <w:rFonts w:asciiTheme="minorHAnsi" w:hAnsiTheme="minorHAnsi" w:cstheme="minorHAnsi"/>
          <w:bCs w:val="0"/>
        </w:rPr>
      </w:pPr>
      <w:r w:rsidRPr="00DB08F8">
        <w:rPr>
          <w:rFonts w:asciiTheme="minorHAnsi" w:hAnsiTheme="minorHAnsi" w:cstheme="minorHAnsi"/>
          <w:bCs w:val="0"/>
        </w:rPr>
        <w:t>Glossary:</w:t>
      </w:r>
    </w:p>
    <w:p w14:paraId="4CC35E2A" w14:textId="77777777" w:rsidR="00134B47" w:rsidRPr="00DB08F8" w:rsidRDefault="00134B47" w:rsidP="00134B47">
      <w:pPr>
        <w:pStyle w:val="BodyText"/>
        <w:ind w:left="851" w:hanging="567"/>
        <w:rPr>
          <w:rFonts w:asciiTheme="minorHAnsi" w:hAnsiTheme="minorHAnsi" w:cstheme="minorHAnsi"/>
          <w:b w:val="0"/>
        </w:rPr>
      </w:pPr>
      <w:r w:rsidRPr="00DB08F8">
        <w:rPr>
          <w:rFonts w:asciiTheme="minorHAnsi" w:hAnsiTheme="minorHAnsi" w:cstheme="minorHAnsi"/>
          <w:b w:val="0"/>
          <w:u w:val="single"/>
        </w:rPr>
        <w:t>Programme</w:t>
      </w:r>
      <w:r w:rsidRPr="00DB08F8">
        <w:rPr>
          <w:rFonts w:asciiTheme="minorHAnsi" w:hAnsiTheme="minorHAnsi" w:cstheme="minorHAnsi"/>
          <w:b w:val="0"/>
        </w:rPr>
        <w:t xml:space="preserve"> covers all of the following: a) credit-bearing provision, b) non-credit bearing provision, c) provision for Imperial staff, d) provision for external clients.</w:t>
      </w:r>
    </w:p>
    <w:p w14:paraId="7E00513D" w14:textId="77777777" w:rsidR="00134B47" w:rsidRPr="00DB08F8" w:rsidRDefault="00134B47" w:rsidP="00134B47">
      <w:pPr>
        <w:pStyle w:val="BodyText"/>
        <w:ind w:left="851" w:hanging="567"/>
        <w:rPr>
          <w:rFonts w:asciiTheme="minorHAnsi" w:hAnsiTheme="minorHAnsi" w:cstheme="minorHAnsi"/>
          <w:b w:val="0"/>
        </w:rPr>
      </w:pPr>
      <w:r w:rsidRPr="00DB08F8">
        <w:rPr>
          <w:rFonts w:asciiTheme="minorHAnsi" w:hAnsiTheme="minorHAnsi" w:cstheme="minorHAnsi"/>
          <w:b w:val="0"/>
          <w:u w:val="single"/>
        </w:rPr>
        <w:t>Module</w:t>
      </w:r>
      <w:r w:rsidRPr="00DB08F8">
        <w:rPr>
          <w:rFonts w:asciiTheme="minorHAnsi" w:hAnsiTheme="minorHAnsi" w:cstheme="minorHAnsi"/>
          <w:b w:val="0"/>
        </w:rPr>
        <w:t xml:space="preserve"> covers any self-contained teaching activity that may occur within a programme as defined above.</w:t>
      </w:r>
    </w:p>
    <w:p w14:paraId="6D398526" w14:textId="77777777" w:rsidR="00134B47" w:rsidRPr="00DB08F8" w:rsidRDefault="00134B47" w:rsidP="00134B47">
      <w:pPr>
        <w:pStyle w:val="BodyText"/>
        <w:ind w:left="851" w:hanging="567"/>
        <w:rPr>
          <w:rFonts w:asciiTheme="minorHAnsi" w:hAnsiTheme="minorHAnsi" w:cstheme="minorHAnsi"/>
          <w:b w:val="0"/>
        </w:rPr>
      </w:pPr>
      <w:r w:rsidRPr="00DB08F8">
        <w:rPr>
          <w:rFonts w:asciiTheme="minorHAnsi" w:hAnsiTheme="minorHAnsi" w:cstheme="minorHAnsi"/>
          <w:b w:val="0"/>
          <w:u w:val="single"/>
        </w:rPr>
        <w:t>Student</w:t>
      </w:r>
      <w:r w:rsidRPr="00DB08F8">
        <w:rPr>
          <w:rFonts w:asciiTheme="minorHAnsi" w:hAnsiTheme="minorHAnsi" w:cstheme="minorHAnsi"/>
          <w:b w:val="0"/>
        </w:rPr>
        <w:t xml:space="preserve"> includes a) all Imperial students, b) learners on programmes offered by the Institute for Extended Learning, c) Imperial staff, d) external clients.</w:t>
      </w:r>
    </w:p>
    <w:p w14:paraId="52B5E389" w14:textId="13113778" w:rsidR="00134B47" w:rsidRPr="00DB08F8" w:rsidRDefault="00134B47" w:rsidP="00134B47">
      <w:pPr>
        <w:pStyle w:val="BodyText"/>
        <w:ind w:left="851" w:hanging="567"/>
        <w:rPr>
          <w:rFonts w:asciiTheme="minorHAnsi" w:hAnsiTheme="minorHAnsi" w:cstheme="minorHAnsi"/>
          <w:b w:val="0"/>
        </w:rPr>
      </w:pPr>
      <w:r w:rsidRPr="00DB08F8">
        <w:rPr>
          <w:rFonts w:asciiTheme="minorHAnsi" w:hAnsiTheme="minorHAnsi" w:cstheme="minorHAnsi"/>
          <w:b w:val="0"/>
          <w:u w:val="single"/>
        </w:rPr>
        <w:t>Colleague</w:t>
      </w:r>
      <w:r w:rsidRPr="00DB08F8">
        <w:rPr>
          <w:rFonts w:asciiTheme="minorHAnsi" w:hAnsiTheme="minorHAnsi" w:cstheme="minorHAnsi"/>
          <w:b w:val="0"/>
        </w:rPr>
        <w:t xml:space="preserve"> covers a) colleagues in the same </w:t>
      </w:r>
      <w:r w:rsidR="00CC0052">
        <w:rPr>
          <w:rFonts w:asciiTheme="minorHAnsi" w:hAnsiTheme="minorHAnsi" w:cstheme="minorHAnsi"/>
          <w:b w:val="0"/>
        </w:rPr>
        <w:t>d</w:t>
      </w:r>
      <w:r w:rsidRPr="00DB08F8">
        <w:rPr>
          <w:rFonts w:asciiTheme="minorHAnsi" w:hAnsiTheme="minorHAnsi" w:cstheme="minorHAnsi"/>
          <w:b w:val="0"/>
        </w:rPr>
        <w:t>epartment, b) colleagues working in any other part of Imperial.</w:t>
      </w:r>
    </w:p>
    <w:p w14:paraId="26E6EBCB" w14:textId="77777777" w:rsidR="00134B47" w:rsidRPr="00DB08F8" w:rsidRDefault="00134B47" w:rsidP="00134B47">
      <w:pPr>
        <w:pStyle w:val="BodyText"/>
        <w:ind w:left="851" w:hanging="567"/>
        <w:rPr>
          <w:rFonts w:asciiTheme="minorHAnsi" w:hAnsiTheme="minorHAnsi" w:cstheme="minorHAnsi"/>
          <w:b w:val="0"/>
        </w:rPr>
      </w:pPr>
      <w:r w:rsidRPr="00DB08F8">
        <w:rPr>
          <w:rFonts w:asciiTheme="minorHAnsi" w:hAnsiTheme="minorHAnsi" w:cstheme="minorHAnsi"/>
          <w:b w:val="0"/>
          <w:u w:val="single"/>
        </w:rPr>
        <w:t>Teaching</w:t>
      </w:r>
      <w:r w:rsidRPr="00DB08F8">
        <w:rPr>
          <w:rFonts w:asciiTheme="minorHAnsi" w:hAnsiTheme="minorHAnsi" w:cstheme="minorHAnsi"/>
          <w:b w:val="0"/>
        </w:rPr>
        <w:t xml:space="preserve"> activity may be collaborative as well as individual, especially for staff working outside academic departments where they collaborate on the design, development, delivery, assessment and/or evaluation of taught courses and training for students as defined above.</w:t>
      </w:r>
    </w:p>
    <w:p w14:paraId="03F0893E" w14:textId="77777777" w:rsidR="00134B47" w:rsidRPr="00DB08F8" w:rsidRDefault="00134B47" w:rsidP="00134B47">
      <w:pPr>
        <w:pStyle w:val="BodyText"/>
        <w:ind w:left="851" w:hanging="567"/>
        <w:rPr>
          <w:rFonts w:asciiTheme="minorHAnsi" w:hAnsiTheme="minorHAnsi" w:cstheme="minorHAnsi"/>
          <w:b w:val="0"/>
        </w:rPr>
      </w:pPr>
      <w:r w:rsidRPr="00DB08F8">
        <w:rPr>
          <w:rFonts w:asciiTheme="minorHAnsi" w:hAnsiTheme="minorHAnsi" w:cstheme="minorHAnsi"/>
          <w:b w:val="0"/>
        </w:rPr>
        <w:t xml:space="preserve">For staff not working in academic departments, </w:t>
      </w:r>
      <w:r w:rsidRPr="00DB08F8">
        <w:rPr>
          <w:rFonts w:asciiTheme="minorHAnsi" w:hAnsiTheme="minorHAnsi" w:cstheme="minorHAnsi"/>
          <w:b w:val="0"/>
          <w:u w:val="single"/>
        </w:rPr>
        <w:t>Faculty</w:t>
      </w:r>
      <w:r w:rsidRPr="00DB08F8">
        <w:rPr>
          <w:rFonts w:asciiTheme="minorHAnsi" w:hAnsiTheme="minorHAnsi" w:cstheme="minorHAnsi"/>
          <w:b w:val="0"/>
        </w:rPr>
        <w:t xml:space="preserve"> refers to other departments beyond their own.</w:t>
      </w:r>
    </w:p>
    <w:p w14:paraId="324C405D" w14:textId="77777777" w:rsidR="00B86EF9" w:rsidRDefault="00B86EF9"/>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82"/>
        <w:gridCol w:w="6448"/>
        <w:gridCol w:w="6446"/>
      </w:tblGrid>
      <w:tr w:rsidR="0058463B" w14:paraId="5DB2874F" w14:textId="77777777" w:rsidTr="79CD534C">
        <w:trPr>
          <w:trHeight w:val="567"/>
        </w:trPr>
        <w:tc>
          <w:tcPr>
            <w:tcW w:w="2282" w:type="dxa"/>
            <w:vAlign w:val="center"/>
          </w:tcPr>
          <w:p w14:paraId="5B967599" w14:textId="77777777" w:rsidR="0058463B" w:rsidRDefault="0058463B" w:rsidP="00222FB7">
            <w:pPr>
              <w:pStyle w:val="TableParagraph"/>
              <w:jc w:val="center"/>
              <w:rPr>
                <w:rFonts w:ascii="Times New Roman"/>
              </w:rPr>
            </w:pPr>
          </w:p>
        </w:tc>
        <w:tc>
          <w:tcPr>
            <w:tcW w:w="6448" w:type="dxa"/>
            <w:shd w:val="clear" w:color="auto" w:fill="D9D9D9" w:themeFill="background1" w:themeFillShade="D9"/>
            <w:vAlign w:val="center"/>
          </w:tcPr>
          <w:p w14:paraId="362A6831" w14:textId="77777777" w:rsidR="0058463B" w:rsidRDefault="0058463B" w:rsidP="00F61809">
            <w:pPr>
              <w:pStyle w:val="TableParagraph"/>
              <w:spacing w:before="6"/>
              <w:ind w:left="2167" w:right="2131"/>
              <w:jc w:val="center"/>
              <w:rPr>
                <w:b/>
              </w:rPr>
            </w:pPr>
            <w:r>
              <w:rPr>
                <w:b/>
              </w:rPr>
              <w:t>Senior Teaching Fellow</w:t>
            </w:r>
          </w:p>
        </w:tc>
        <w:tc>
          <w:tcPr>
            <w:tcW w:w="6446" w:type="dxa"/>
            <w:shd w:val="clear" w:color="auto" w:fill="D9D9D9" w:themeFill="background1" w:themeFillShade="D9"/>
            <w:vAlign w:val="center"/>
          </w:tcPr>
          <w:p w14:paraId="13EBF213" w14:textId="77777777" w:rsidR="0058463B" w:rsidRDefault="0058463B" w:rsidP="00F61809">
            <w:pPr>
              <w:pStyle w:val="TableParagraph"/>
              <w:spacing w:before="6"/>
              <w:ind w:left="2059" w:right="2025"/>
              <w:jc w:val="center"/>
              <w:rPr>
                <w:b/>
              </w:rPr>
            </w:pPr>
            <w:r>
              <w:rPr>
                <w:b/>
              </w:rPr>
              <w:t>Principal Teaching Fellow</w:t>
            </w:r>
          </w:p>
        </w:tc>
      </w:tr>
      <w:tr w:rsidR="0058463B" w14:paraId="555721B3" w14:textId="77777777" w:rsidTr="79CD534C">
        <w:trPr>
          <w:trHeight w:val="567"/>
        </w:trPr>
        <w:tc>
          <w:tcPr>
            <w:tcW w:w="2282" w:type="dxa"/>
            <w:shd w:val="clear" w:color="auto" w:fill="D9D9D9" w:themeFill="background1" w:themeFillShade="D9"/>
            <w:vAlign w:val="center"/>
          </w:tcPr>
          <w:p w14:paraId="47260AA0" w14:textId="0487C580" w:rsidR="00C11340" w:rsidRPr="00C11340" w:rsidRDefault="0058463B" w:rsidP="00222FB7">
            <w:pPr>
              <w:pStyle w:val="TableParagraph"/>
              <w:ind w:right="191"/>
              <w:jc w:val="center"/>
              <w:rPr>
                <w:b/>
              </w:rPr>
            </w:pPr>
            <w:r>
              <w:rPr>
                <w:b/>
              </w:rPr>
              <w:t xml:space="preserve">Sphere </w:t>
            </w:r>
            <w:r w:rsidR="004437C5">
              <w:rPr>
                <w:b/>
              </w:rPr>
              <w:t>o</w:t>
            </w:r>
            <w:r>
              <w:rPr>
                <w:b/>
              </w:rPr>
              <w:t>f Influence</w:t>
            </w:r>
          </w:p>
        </w:tc>
        <w:tc>
          <w:tcPr>
            <w:tcW w:w="6448" w:type="dxa"/>
          </w:tcPr>
          <w:p w14:paraId="19727AFD" w14:textId="77777777" w:rsidR="0058463B" w:rsidRDefault="0058463B" w:rsidP="00B32819">
            <w:pPr>
              <w:pStyle w:val="TableParagraph"/>
              <w:spacing w:before="6" w:line="265" w:lineRule="exact"/>
              <w:ind w:left="134"/>
            </w:pPr>
            <w:r>
              <w:t>Programme or Year Group:</w:t>
            </w:r>
          </w:p>
          <w:p w14:paraId="57E4EDBD" w14:textId="67B06869" w:rsidR="0058463B" w:rsidRDefault="0058463B" w:rsidP="00B32819">
            <w:pPr>
              <w:pStyle w:val="TableParagraph"/>
              <w:ind w:left="134" w:right="358"/>
            </w:pPr>
            <w:r>
              <w:t>At this level, staff are responsible for design and delivery of one or more modules and work closely with colleagues to enhance education at programme level.</w:t>
            </w:r>
          </w:p>
          <w:p w14:paraId="04813D7C" w14:textId="77777777" w:rsidR="0058463B" w:rsidRDefault="0058463B" w:rsidP="00B32819">
            <w:pPr>
              <w:pStyle w:val="TableParagraph"/>
              <w:spacing w:before="4"/>
              <w:rPr>
                <w:rFonts w:ascii="Times New Roman"/>
                <w:sz w:val="23"/>
              </w:rPr>
            </w:pPr>
          </w:p>
          <w:p w14:paraId="6D207F02" w14:textId="75A264B9" w:rsidR="0058463B" w:rsidRDefault="0058463B" w:rsidP="00B32819">
            <w:pPr>
              <w:pStyle w:val="TableParagraph"/>
              <w:spacing w:line="237" w:lineRule="auto"/>
              <w:ind w:left="134" w:right="573"/>
            </w:pPr>
            <w:r>
              <w:t xml:space="preserve">Recognised at </w:t>
            </w:r>
            <w:r w:rsidR="004437C5">
              <w:t>d</w:t>
            </w:r>
            <w:r>
              <w:t>epartmental level as someone who makes a key contribution to education enhancement.</w:t>
            </w:r>
          </w:p>
        </w:tc>
        <w:tc>
          <w:tcPr>
            <w:tcW w:w="6446" w:type="dxa"/>
          </w:tcPr>
          <w:p w14:paraId="12B55C13" w14:textId="77777777" w:rsidR="0058463B" w:rsidRDefault="0058463B" w:rsidP="00B32819">
            <w:pPr>
              <w:pStyle w:val="TableParagraph"/>
              <w:spacing w:line="268" w:lineRule="exact"/>
              <w:ind w:left="133"/>
            </w:pPr>
            <w:r>
              <w:t>Department / Faculty:</w:t>
            </w:r>
          </w:p>
          <w:p w14:paraId="529A118E" w14:textId="71FF1294" w:rsidR="0058463B" w:rsidRDefault="0058463B" w:rsidP="00B32819">
            <w:pPr>
              <w:pStyle w:val="TableParagraph"/>
              <w:spacing w:before="24" w:line="259" w:lineRule="auto"/>
              <w:ind w:left="133" w:right="482"/>
            </w:pPr>
            <w:r>
              <w:t xml:space="preserve">At this level, staff are responsible for </w:t>
            </w:r>
            <w:r w:rsidR="00C11340">
              <w:t xml:space="preserve">the </w:t>
            </w:r>
            <w:r>
              <w:t>design and delivery of modules and programmes, and/or have equivalent level of wider responsibility for education development, for example by contributing to institutional projects and activities (e.g. working with the Educational Development Unit).</w:t>
            </w:r>
          </w:p>
          <w:p w14:paraId="7BA04774" w14:textId="77777777" w:rsidR="0058463B" w:rsidRDefault="0058463B" w:rsidP="00B32819">
            <w:pPr>
              <w:pStyle w:val="TableParagraph"/>
              <w:spacing w:before="4"/>
              <w:rPr>
                <w:rFonts w:ascii="Times New Roman"/>
                <w:sz w:val="25"/>
              </w:rPr>
            </w:pPr>
          </w:p>
          <w:p w14:paraId="4EE2294C" w14:textId="16B108C5" w:rsidR="0058463B" w:rsidRDefault="0058463B" w:rsidP="00B32819">
            <w:pPr>
              <w:pStyle w:val="TableParagraph"/>
              <w:spacing w:before="1" w:line="259" w:lineRule="auto"/>
              <w:ind w:left="133" w:right="276"/>
            </w:pPr>
            <w:r>
              <w:t xml:space="preserve">Recognised at </w:t>
            </w:r>
            <w:r w:rsidR="00C11340">
              <w:t>d</w:t>
            </w:r>
            <w:r>
              <w:t>epartment</w:t>
            </w:r>
            <w:r w:rsidR="00C11340">
              <w:t>al</w:t>
            </w:r>
            <w:r>
              <w:t xml:space="preserve"> </w:t>
            </w:r>
            <w:r w:rsidR="003C2222">
              <w:t>level or more widely</w:t>
            </w:r>
            <w:r>
              <w:t xml:space="preserve"> as someone who leads education enhancement within and across programmes</w:t>
            </w:r>
            <w:r w:rsidR="00C11340">
              <w:t>.</w:t>
            </w:r>
          </w:p>
        </w:tc>
      </w:tr>
      <w:tr w:rsidR="0058463B" w14:paraId="6AF739AF" w14:textId="77777777" w:rsidTr="79CD534C">
        <w:trPr>
          <w:trHeight w:val="567"/>
        </w:trPr>
        <w:tc>
          <w:tcPr>
            <w:tcW w:w="2282" w:type="dxa"/>
            <w:vMerge w:val="restart"/>
            <w:shd w:val="clear" w:color="auto" w:fill="D9D9D9" w:themeFill="background1" w:themeFillShade="D9"/>
          </w:tcPr>
          <w:p w14:paraId="63A9BC13" w14:textId="77777777" w:rsidR="0023169D" w:rsidRDefault="0023169D" w:rsidP="0023169D">
            <w:pPr>
              <w:pStyle w:val="TableParagraph"/>
              <w:spacing w:before="1"/>
              <w:ind w:right="245"/>
              <w:jc w:val="center"/>
              <w:rPr>
                <w:b/>
              </w:rPr>
            </w:pPr>
          </w:p>
          <w:p w14:paraId="1AAF75CC" w14:textId="77777777" w:rsidR="0023169D" w:rsidRDefault="0023169D" w:rsidP="0023169D">
            <w:pPr>
              <w:pStyle w:val="TableParagraph"/>
              <w:spacing w:before="1"/>
              <w:ind w:right="245"/>
              <w:jc w:val="center"/>
              <w:rPr>
                <w:b/>
              </w:rPr>
            </w:pPr>
          </w:p>
          <w:p w14:paraId="31F1DAFD" w14:textId="77777777" w:rsidR="0023169D" w:rsidRDefault="0023169D" w:rsidP="0023169D">
            <w:pPr>
              <w:pStyle w:val="TableParagraph"/>
              <w:spacing w:before="1"/>
              <w:ind w:right="245"/>
              <w:jc w:val="center"/>
              <w:rPr>
                <w:b/>
              </w:rPr>
            </w:pPr>
          </w:p>
          <w:p w14:paraId="6FEF9D98" w14:textId="77777777" w:rsidR="0023169D" w:rsidRDefault="0023169D" w:rsidP="0023169D">
            <w:pPr>
              <w:pStyle w:val="TableParagraph"/>
              <w:spacing w:before="1"/>
              <w:ind w:right="245"/>
              <w:jc w:val="center"/>
              <w:rPr>
                <w:b/>
              </w:rPr>
            </w:pPr>
          </w:p>
          <w:p w14:paraId="2F958051" w14:textId="77777777" w:rsidR="0023169D" w:rsidRDefault="0023169D" w:rsidP="0023169D">
            <w:pPr>
              <w:pStyle w:val="TableParagraph"/>
              <w:spacing w:before="1"/>
              <w:ind w:right="245"/>
              <w:jc w:val="center"/>
              <w:rPr>
                <w:b/>
              </w:rPr>
            </w:pPr>
          </w:p>
          <w:p w14:paraId="61A66D63" w14:textId="77777777" w:rsidR="0023169D" w:rsidRDefault="0023169D" w:rsidP="0023169D">
            <w:pPr>
              <w:pStyle w:val="TableParagraph"/>
              <w:spacing w:before="1"/>
              <w:ind w:right="245"/>
              <w:jc w:val="center"/>
              <w:rPr>
                <w:b/>
              </w:rPr>
            </w:pPr>
          </w:p>
          <w:p w14:paraId="6EBA6899" w14:textId="77777777" w:rsidR="0023169D" w:rsidRDefault="0023169D" w:rsidP="0023169D">
            <w:pPr>
              <w:pStyle w:val="TableParagraph"/>
              <w:spacing w:before="1"/>
              <w:ind w:right="245"/>
              <w:jc w:val="center"/>
              <w:rPr>
                <w:b/>
              </w:rPr>
            </w:pPr>
          </w:p>
          <w:p w14:paraId="723F2090" w14:textId="77777777" w:rsidR="0058463B" w:rsidRDefault="0058463B" w:rsidP="0023169D">
            <w:pPr>
              <w:pStyle w:val="TableParagraph"/>
              <w:spacing w:before="1"/>
              <w:ind w:right="245"/>
              <w:jc w:val="center"/>
              <w:rPr>
                <w:b/>
              </w:rPr>
            </w:pPr>
            <w:r>
              <w:rPr>
                <w:b/>
              </w:rPr>
              <w:t>Contribution to</w:t>
            </w:r>
            <w:r w:rsidR="00C11717">
              <w:rPr>
                <w:b/>
              </w:rPr>
              <w:t xml:space="preserve"> </w:t>
            </w:r>
            <w:r w:rsidR="00B86EF9">
              <w:rPr>
                <w:b/>
              </w:rPr>
              <w:t>Imperial</w:t>
            </w:r>
            <w:r>
              <w:rPr>
                <w:b/>
              </w:rPr>
              <w:t>'s Educational</w:t>
            </w:r>
            <w:r w:rsidR="00C11717">
              <w:rPr>
                <w:b/>
              </w:rPr>
              <w:t xml:space="preserve"> </w:t>
            </w:r>
            <w:r>
              <w:rPr>
                <w:b/>
              </w:rPr>
              <w:t>Mission</w:t>
            </w:r>
          </w:p>
          <w:p w14:paraId="430FD798" w14:textId="77777777" w:rsidR="0023169D" w:rsidRDefault="0023169D" w:rsidP="0023169D">
            <w:pPr>
              <w:pStyle w:val="TableParagraph"/>
              <w:spacing w:before="1"/>
              <w:ind w:right="245"/>
              <w:jc w:val="center"/>
              <w:rPr>
                <w:b/>
              </w:rPr>
            </w:pPr>
          </w:p>
          <w:p w14:paraId="037318BA" w14:textId="77777777" w:rsidR="0023169D" w:rsidRDefault="0023169D" w:rsidP="0023169D">
            <w:pPr>
              <w:pStyle w:val="TableParagraph"/>
              <w:spacing w:before="1"/>
              <w:ind w:right="245"/>
              <w:jc w:val="center"/>
              <w:rPr>
                <w:b/>
              </w:rPr>
            </w:pPr>
          </w:p>
          <w:p w14:paraId="16A246CA" w14:textId="77777777" w:rsidR="0023169D" w:rsidRDefault="0023169D" w:rsidP="0023169D">
            <w:pPr>
              <w:pStyle w:val="TableParagraph"/>
              <w:spacing w:before="1"/>
              <w:ind w:right="245"/>
              <w:jc w:val="center"/>
              <w:rPr>
                <w:b/>
              </w:rPr>
            </w:pPr>
          </w:p>
          <w:p w14:paraId="2AA1F5B6" w14:textId="77777777" w:rsidR="0023169D" w:rsidRDefault="0023169D" w:rsidP="0023169D">
            <w:pPr>
              <w:pStyle w:val="TableParagraph"/>
              <w:spacing w:before="1"/>
              <w:ind w:right="245"/>
              <w:jc w:val="center"/>
              <w:rPr>
                <w:b/>
              </w:rPr>
            </w:pPr>
          </w:p>
          <w:p w14:paraId="42833306" w14:textId="77777777" w:rsidR="0023169D" w:rsidRDefault="0023169D" w:rsidP="0023169D">
            <w:pPr>
              <w:pStyle w:val="TableParagraph"/>
              <w:spacing w:before="1"/>
              <w:ind w:right="245"/>
              <w:jc w:val="center"/>
              <w:rPr>
                <w:b/>
              </w:rPr>
            </w:pPr>
          </w:p>
          <w:p w14:paraId="19CF382B" w14:textId="77777777" w:rsidR="0023169D" w:rsidRDefault="0023169D" w:rsidP="0023169D">
            <w:pPr>
              <w:pStyle w:val="TableParagraph"/>
              <w:spacing w:before="1"/>
              <w:ind w:right="245"/>
              <w:jc w:val="center"/>
              <w:rPr>
                <w:b/>
              </w:rPr>
            </w:pPr>
          </w:p>
          <w:p w14:paraId="506B7B4E" w14:textId="77777777" w:rsidR="0023169D" w:rsidRDefault="0023169D" w:rsidP="0023169D">
            <w:pPr>
              <w:pStyle w:val="TableParagraph"/>
              <w:spacing w:before="1"/>
              <w:ind w:right="245"/>
              <w:jc w:val="center"/>
              <w:rPr>
                <w:b/>
              </w:rPr>
            </w:pPr>
          </w:p>
          <w:p w14:paraId="5C4472A7" w14:textId="77777777" w:rsidR="0023169D" w:rsidRDefault="0023169D" w:rsidP="0023169D">
            <w:pPr>
              <w:pStyle w:val="TableParagraph"/>
              <w:spacing w:before="1"/>
              <w:ind w:right="245"/>
              <w:jc w:val="center"/>
              <w:rPr>
                <w:b/>
              </w:rPr>
            </w:pPr>
          </w:p>
          <w:p w14:paraId="2342FE46" w14:textId="77777777" w:rsidR="0023169D" w:rsidRDefault="0023169D" w:rsidP="0023169D">
            <w:pPr>
              <w:pStyle w:val="TableParagraph"/>
              <w:spacing w:before="1"/>
              <w:ind w:right="245"/>
              <w:jc w:val="center"/>
              <w:rPr>
                <w:b/>
              </w:rPr>
            </w:pPr>
          </w:p>
          <w:p w14:paraId="1E66806D" w14:textId="291FDA57" w:rsidR="0023169D" w:rsidRDefault="0023169D" w:rsidP="0023169D">
            <w:pPr>
              <w:pStyle w:val="TableParagraph"/>
              <w:spacing w:before="1"/>
              <w:ind w:right="245"/>
              <w:jc w:val="center"/>
              <w:rPr>
                <w:b/>
              </w:rPr>
            </w:pPr>
            <w:r>
              <w:rPr>
                <w:b/>
              </w:rPr>
              <w:t>continued</w:t>
            </w:r>
          </w:p>
        </w:tc>
        <w:tc>
          <w:tcPr>
            <w:tcW w:w="6448" w:type="dxa"/>
          </w:tcPr>
          <w:p w14:paraId="5D59895F" w14:textId="77777777" w:rsidR="0058463B" w:rsidRDefault="0058463B" w:rsidP="00B32819">
            <w:pPr>
              <w:pStyle w:val="TableParagraph"/>
              <w:ind w:left="134" w:right="408"/>
            </w:pPr>
            <w:r>
              <w:lastRenderedPageBreak/>
              <w:t>Recognised for quality of design and delivery of module(s) in their area of expertise (including coursework, feedback, and assessment).</w:t>
            </w:r>
          </w:p>
        </w:tc>
        <w:tc>
          <w:tcPr>
            <w:tcW w:w="6446" w:type="dxa"/>
          </w:tcPr>
          <w:p w14:paraId="4EF7EF0E" w14:textId="77777777" w:rsidR="0058463B" w:rsidRPr="00222FB7" w:rsidRDefault="0058463B" w:rsidP="00B32819">
            <w:pPr>
              <w:pStyle w:val="TableParagraph"/>
              <w:spacing w:line="254" w:lineRule="auto"/>
              <w:ind w:left="135" w:right="871"/>
              <w:rPr>
                <w:rFonts w:asciiTheme="minorHAnsi" w:hAnsiTheme="minorHAnsi" w:cstheme="minorHAnsi"/>
              </w:rPr>
            </w:pPr>
            <w:r w:rsidRPr="00222FB7">
              <w:rPr>
                <w:rFonts w:asciiTheme="minorHAnsi" w:hAnsiTheme="minorHAnsi" w:cstheme="minorHAnsi"/>
              </w:rPr>
              <w:t>Recognised departmental expert in educational best practice for their subject area, providing expert advice at the departmental</w:t>
            </w:r>
            <w:r w:rsidRPr="00222FB7">
              <w:rPr>
                <w:rFonts w:asciiTheme="minorHAnsi" w:hAnsiTheme="minorHAnsi" w:cstheme="minorHAnsi"/>
                <w:spacing w:val="-4"/>
              </w:rPr>
              <w:t xml:space="preserve"> </w:t>
            </w:r>
            <w:r w:rsidRPr="00222FB7">
              <w:rPr>
                <w:rFonts w:asciiTheme="minorHAnsi" w:hAnsiTheme="minorHAnsi" w:cstheme="minorHAnsi"/>
              </w:rPr>
              <w:t>level.</w:t>
            </w:r>
          </w:p>
          <w:p w14:paraId="189ADB5B" w14:textId="77777777" w:rsidR="0058463B" w:rsidRPr="00222FB7" w:rsidRDefault="0058463B" w:rsidP="00B32819">
            <w:pPr>
              <w:pStyle w:val="TableParagraph"/>
              <w:spacing w:before="6"/>
              <w:rPr>
                <w:rFonts w:asciiTheme="minorHAnsi" w:hAnsiTheme="minorHAnsi" w:cstheme="minorHAnsi"/>
              </w:rPr>
            </w:pPr>
          </w:p>
          <w:p w14:paraId="07DE01C9" w14:textId="60B318AE" w:rsidR="0058463B" w:rsidRPr="00222FB7" w:rsidRDefault="0058463B" w:rsidP="00B32819">
            <w:pPr>
              <w:pStyle w:val="TableParagraph"/>
              <w:spacing w:line="254" w:lineRule="auto"/>
              <w:ind w:left="135" w:right="476"/>
              <w:rPr>
                <w:rFonts w:asciiTheme="minorHAnsi" w:hAnsiTheme="minorHAnsi" w:cstheme="minorHAnsi"/>
              </w:rPr>
            </w:pPr>
            <w:r w:rsidRPr="00222FB7">
              <w:rPr>
                <w:rFonts w:asciiTheme="minorHAnsi" w:hAnsiTheme="minorHAnsi" w:cstheme="minorHAnsi"/>
              </w:rPr>
              <w:t xml:space="preserve">Works with others to ensure </w:t>
            </w:r>
            <w:r w:rsidR="00CC0052">
              <w:rPr>
                <w:rFonts w:asciiTheme="minorHAnsi" w:hAnsiTheme="minorHAnsi" w:cstheme="minorHAnsi"/>
              </w:rPr>
              <w:t>d</w:t>
            </w:r>
            <w:r w:rsidRPr="00222FB7">
              <w:rPr>
                <w:rFonts w:asciiTheme="minorHAnsi" w:hAnsiTheme="minorHAnsi" w:cstheme="minorHAnsi"/>
              </w:rPr>
              <w:t xml:space="preserve">epartment education practice is in line with </w:t>
            </w:r>
            <w:r w:rsidR="00B86EF9" w:rsidRPr="00222FB7">
              <w:rPr>
                <w:rFonts w:asciiTheme="minorHAnsi" w:hAnsiTheme="minorHAnsi" w:cstheme="minorHAnsi"/>
              </w:rPr>
              <w:t>Imperial</w:t>
            </w:r>
            <w:r w:rsidRPr="00222FB7">
              <w:rPr>
                <w:rFonts w:asciiTheme="minorHAnsi" w:hAnsiTheme="minorHAnsi" w:cstheme="minorHAnsi"/>
              </w:rPr>
              <w:t>’s Educational Mission.</w:t>
            </w:r>
          </w:p>
        </w:tc>
      </w:tr>
      <w:tr w:rsidR="0058463B" w14:paraId="619D6C58" w14:textId="77777777" w:rsidTr="79CD534C">
        <w:trPr>
          <w:trHeight w:val="567"/>
        </w:trPr>
        <w:tc>
          <w:tcPr>
            <w:tcW w:w="2282" w:type="dxa"/>
            <w:vMerge/>
          </w:tcPr>
          <w:p w14:paraId="296CDB39" w14:textId="77777777" w:rsidR="0058463B" w:rsidRDefault="0058463B" w:rsidP="00B32819">
            <w:pPr>
              <w:rPr>
                <w:sz w:val="2"/>
                <w:szCs w:val="2"/>
              </w:rPr>
            </w:pPr>
          </w:p>
        </w:tc>
        <w:tc>
          <w:tcPr>
            <w:tcW w:w="6448" w:type="dxa"/>
          </w:tcPr>
          <w:p w14:paraId="5022DBDE" w14:textId="721F8C9E" w:rsidR="0058463B" w:rsidRDefault="0058463B" w:rsidP="00B32819">
            <w:pPr>
              <w:pStyle w:val="TableParagraph"/>
              <w:ind w:left="134" w:right="1036"/>
            </w:pPr>
            <w:r>
              <w:t>Demonstrates innovation in their teaching, e.g. innovative approaches to</w:t>
            </w:r>
            <w:r w:rsidR="00680912">
              <w:t xml:space="preserve"> design, development,</w:t>
            </w:r>
            <w:r>
              <w:t xml:space="preserve"> delivery, feedback, and assessment.</w:t>
            </w:r>
          </w:p>
        </w:tc>
        <w:tc>
          <w:tcPr>
            <w:tcW w:w="6446" w:type="dxa"/>
          </w:tcPr>
          <w:p w14:paraId="6459BC65" w14:textId="34D2BD6E" w:rsidR="0058463B" w:rsidRDefault="0058463B" w:rsidP="00B32819">
            <w:pPr>
              <w:pStyle w:val="TableParagraph"/>
              <w:spacing w:before="1" w:line="256" w:lineRule="auto"/>
              <w:ind w:left="135" w:right="375"/>
            </w:pPr>
            <w:r>
              <w:t xml:space="preserve">Has influence beyond their own teaching, resulting in improvements to educational quality in their </w:t>
            </w:r>
            <w:r w:rsidR="00CC0052">
              <w:t>department</w:t>
            </w:r>
            <w:r w:rsidR="003C2222">
              <w:t xml:space="preserve"> or more widely for students</w:t>
            </w:r>
            <w:r>
              <w:t xml:space="preserve"> across multiple year groups </w:t>
            </w:r>
            <w:r w:rsidR="003C2222">
              <w:t>or</w:t>
            </w:r>
            <w:r>
              <w:t xml:space="preserve"> programmes.</w:t>
            </w:r>
          </w:p>
        </w:tc>
      </w:tr>
      <w:tr w:rsidR="0058463B" w14:paraId="0391B93A" w14:textId="77777777" w:rsidTr="79CD534C">
        <w:trPr>
          <w:trHeight w:val="567"/>
        </w:trPr>
        <w:tc>
          <w:tcPr>
            <w:tcW w:w="2282" w:type="dxa"/>
            <w:vMerge/>
          </w:tcPr>
          <w:p w14:paraId="6F525D42" w14:textId="77777777" w:rsidR="0058463B" w:rsidRDefault="0058463B" w:rsidP="00B32819">
            <w:pPr>
              <w:rPr>
                <w:sz w:val="2"/>
                <w:szCs w:val="2"/>
              </w:rPr>
            </w:pPr>
          </w:p>
        </w:tc>
        <w:tc>
          <w:tcPr>
            <w:tcW w:w="6448" w:type="dxa"/>
          </w:tcPr>
          <w:p w14:paraId="45D09F64" w14:textId="207C6FCD" w:rsidR="0058463B" w:rsidRDefault="0058463B" w:rsidP="00B32819">
            <w:pPr>
              <w:pStyle w:val="TableParagraph"/>
              <w:ind w:left="134" w:right="1053"/>
            </w:pPr>
            <w:r>
              <w:t xml:space="preserve">Takes a </w:t>
            </w:r>
            <w:r w:rsidR="00C11340">
              <w:t>d</w:t>
            </w:r>
            <w:r>
              <w:t>epartmental role (e.g. year coordinator, projects coordinator, outreach coordinator, admissions tutor</w:t>
            </w:r>
            <w:r w:rsidR="00680912">
              <w:t xml:space="preserve"> or role relevant to non-credit bearing provision</w:t>
            </w:r>
            <w:r>
              <w:t>).</w:t>
            </w:r>
          </w:p>
        </w:tc>
        <w:tc>
          <w:tcPr>
            <w:tcW w:w="6446" w:type="dxa"/>
          </w:tcPr>
          <w:p w14:paraId="6F7FA740" w14:textId="77777777" w:rsidR="0058463B" w:rsidRDefault="0058463B" w:rsidP="00B32819">
            <w:pPr>
              <w:pStyle w:val="TableParagraph"/>
              <w:spacing w:before="6" w:line="268" w:lineRule="exact"/>
              <w:ind w:left="135"/>
            </w:pPr>
            <w:r>
              <w:t>Leads significant and impactful initiatives. For example:</w:t>
            </w:r>
          </w:p>
          <w:p w14:paraId="0F403FFC" w14:textId="60D9C923" w:rsidR="0058463B" w:rsidRDefault="0058463B" w:rsidP="00B32819">
            <w:pPr>
              <w:pStyle w:val="TableParagraph"/>
              <w:numPr>
                <w:ilvl w:val="0"/>
                <w:numId w:val="8"/>
              </w:numPr>
              <w:tabs>
                <w:tab w:val="left" w:pos="495"/>
                <w:tab w:val="left" w:pos="496"/>
              </w:tabs>
              <w:spacing w:line="279" w:lineRule="exact"/>
              <w:ind w:hanging="361"/>
            </w:pPr>
            <w:r>
              <w:t>Taking a departmental leadership role (e.g. Senior</w:t>
            </w:r>
            <w:r>
              <w:rPr>
                <w:spacing w:val="-15"/>
              </w:rPr>
              <w:t xml:space="preserve"> </w:t>
            </w:r>
            <w:r>
              <w:t>Tutor)</w:t>
            </w:r>
          </w:p>
          <w:p w14:paraId="2EE3523B" w14:textId="00BD4232" w:rsidR="0058463B" w:rsidRDefault="0058463B" w:rsidP="00B32819">
            <w:pPr>
              <w:pStyle w:val="TableParagraph"/>
              <w:numPr>
                <w:ilvl w:val="0"/>
                <w:numId w:val="8"/>
              </w:numPr>
              <w:tabs>
                <w:tab w:val="left" w:pos="495"/>
                <w:tab w:val="left" w:pos="496"/>
              </w:tabs>
              <w:spacing w:before="15" w:line="242" w:lineRule="auto"/>
              <w:ind w:right="801"/>
            </w:pPr>
            <w:r>
              <w:t xml:space="preserve">Leading on curriculum design for a particular subject area </w:t>
            </w:r>
            <w:r w:rsidR="003C2222">
              <w:t xml:space="preserve">e.g. </w:t>
            </w:r>
            <w:r>
              <w:t>across all year groups /</w:t>
            </w:r>
            <w:r>
              <w:rPr>
                <w:spacing w:val="-7"/>
              </w:rPr>
              <w:t xml:space="preserve"> </w:t>
            </w:r>
            <w:r>
              <w:t>programmes</w:t>
            </w:r>
          </w:p>
          <w:p w14:paraId="61D6774D" w14:textId="77777777" w:rsidR="0058463B" w:rsidRDefault="0058463B" w:rsidP="00B32819">
            <w:pPr>
              <w:pStyle w:val="TableParagraph"/>
              <w:numPr>
                <w:ilvl w:val="0"/>
                <w:numId w:val="8"/>
              </w:numPr>
              <w:tabs>
                <w:tab w:val="left" w:pos="495"/>
                <w:tab w:val="left" w:pos="496"/>
              </w:tabs>
              <w:ind w:right="582"/>
            </w:pPr>
            <w:r>
              <w:t>Leading on the application of educational technology across the curriculum</w:t>
            </w:r>
          </w:p>
          <w:p w14:paraId="2BC05EED" w14:textId="1E06305D" w:rsidR="00F61809" w:rsidRDefault="0058463B" w:rsidP="00B32819">
            <w:pPr>
              <w:pStyle w:val="TableParagraph"/>
              <w:numPr>
                <w:ilvl w:val="0"/>
                <w:numId w:val="8"/>
              </w:numPr>
              <w:tabs>
                <w:tab w:val="left" w:pos="495"/>
                <w:tab w:val="left" w:pos="496"/>
              </w:tabs>
              <w:ind w:hanging="361"/>
            </w:pPr>
            <w:r>
              <w:t>Implementing policies to regulate student</w:t>
            </w:r>
            <w:r>
              <w:rPr>
                <w:spacing w:val="-13"/>
              </w:rPr>
              <w:t xml:space="preserve"> </w:t>
            </w:r>
            <w:r>
              <w:t>workload</w:t>
            </w:r>
          </w:p>
          <w:p w14:paraId="7246A2CD" w14:textId="6E7A21CB" w:rsidR="00F61809" w:rsidRDefault="0058463B" w:rsidP="00222FB7">
            <w:pPr>
              <w:pStyle w:val="TableParagraph"/>
              <w:numPr>
                <w:ilvl w:val="0"/>
                <w:numId w:val="8"/>
              </w:numPr>
              <w:tabs>
                <w:tab w:val="left" w:pos="495"/>
                <w:tab w:val="left" w:pos="496"/>
              </w:tabs>
              <w:ind w:hanging="361"/>
            </w:pPr>
            <w:r>
              <w:lastRenderedPageBreak/>
              <w:t>Creating and leading a</w:t>
            </w:r>
            <w:r w:rsidR="003C2222">
              <w:t xml:space="preserve"> </w:t>
            </w:r>
            <w:r>
              <w:t>module in an area</w:t>
            </w:r>
            <w:r w:rsidRPr="00F61809">
              <w:rPr>
                <w:spacing w:val="-36"/>
              </w:rPr>
              <w:t xml:space="preserve"> </w:t>
            </w:r>
            <w:r w:rsidR="00F61809" w:rsidRPr="00F61809">
              <w:rPr>
                <w:spacing w:val="-36"/>
              </w:rPr>
              <w:t xml:space="preserve"> </w:t>
            </w:r>
            <w:r>
              <w:t>of</w:t>
            </w:r>
            <w:r w:rsidR="00F61809">
              <w:t xml:space="preserve"> strategic</w:t>
            </w:r>
            <w:r w:rsidR="00F61809" w:rsidRPr="00F61809">
              <w:rPr>
                <w:spacing w:val="-16"/>
              </w:rPr>
              <w:t xml:space="preserve"> </w:t>
            </w:r>
            <w:r w:rsidR="00F61809">
              <w:t>importance such as an iExplore STEMM module</w:t>
            </w:r>
          </w:p>
          <w:p w14:paraId="02E418A2" w14:textId="1AE09719" w:rsidR="0058463B" w:rsidRDefault="00F61809" w:rsidP="00F61809">
            <w:pPr>
              <w:pStyle w:val="TableParagraph"/>
              <w:numPr>
                <w:ilvl w:val="0"/>
                <w:numId w:val="8"/>
              </w:numPr>
              <w:tabs>
                <w:tab w:val="left" w:pos="492"/>
                <w:tab w:val="left" w:pos="493"/>
              </w:tabs>
              <w:spacing w:before="13"/>
              <w:ind w:left="493" w:hanging="358"/>
            </w:pPr>
            <w:r>
              <w:t>Leading a team for the collaborative design, development and delivery of a new module or programme e.g. for the IEL or other non-credit bearing initiative</w:t>
            </w:r>
          </w:p>
        </w:tc>
      </w:tr>
      <w:tr w:rsidR="00C11340" w14:paraId="391D9F7F" w14:textId="77777777" w:rsidTr="79CD534C">
        <w:trPr>
          <w:trHeight w:val="567"/>
        </w:trPr>
        <w:tc>
          <w:tcPr>
            <w:tcW w:w="2282" w:type="dxa"/>
            <w:vMerge w:val="restart"/>
            <w:shd w:val="clear" w:color="auto" w:fill="D9D9D9" w:themeFill="background1" w:themeFillShade="D9"/>
            <w:vAlign w:val="center"/>
          </w:tcPr>
          <w:p w14:paraId="223AEE6D" w14:textId="13D6816A" w:rsidR="00C11340" w:rsidRDefault="00C11340" w:rsidP="00C11717">
            <w:pPr>
              <w:pStyle w:val="TableParagraph"/>
              <w:jc w:val="center"/>
              <w:rPr>
                <w:sz w:val="2"/>
                <w:szCs w:val="2"/>
              </w:rPr>
            </w:pPr>
            <w:r>
              <w:rPr>
                <w:b/>
              </w:rPr>
              <w:lastRenderedPageBreak/>
              <w:t>Innovation and Evaluation</w:t>
            </w:r>
          </w:p>
        </w:tc>
        <w:tc>
          <w:tcPr>
            <w:tcW w:w="6448" w:type="dxa"/>
          </w:tcPr>
          <w:p w14:paraId="2CC43181" w14:textId="77777777" w:rsidR="00C11340" w:rsidRDefault="00C11340" w:rsidP="00F61809">
            <w:pPr>
              <w:pStyle w:val="TableParagraph"/>
              <w:spacing w:before="3" w:line="235" w:lineRule="auto"/>
              <w:ind w:left="127" w:right="1261"/>
            </w:pPr>
            <w:r>
              <w:t>Evidence of innovative contributions to education at the programme level.</w:t>
            </w:r>
          </w:p>
          <w:p w14:paraId="7DABFC73" w14:textId="77777777" w:rsidR="00C11340" w:rsidRDefault="00C11340" w:rsidP="00F61809">
            <w:pPr>
              <w:pStyle w:val="TableParagraph"/>
              <w:spacing w:before="12" w:line="265" w:lineRule="exact"/>
              <w:ind w:left="127"/>
            </w:pPr>
            <w:r>
              <w:t>For example,</w:t>
            </w:r>
          </w:p>
          <w:p w14:paraId="4A00B8C5" w14:textId="77777777" w:rsidR="00C11340" w:rsidRDefault="00C11340" w:rsidP="00F61809">
            <w:pPr>
              <w:pStyle w:val="TableParagraph"/>
              <w:numPr>
                <w:ilvl w:val="0"/>
                <w:numId w:val="6"/>
              </w:numPr>
              <w:tabs>
                <w:tab w:val="left" w:pos="487"/>
                <w:tab w:val="left" w:pos="488"/>
              </w:tabs>
              <w:spacing w:line="275" w:lineRule="exact"/>
            </w:pPr>
            <w:r>
              <w:t>Reviewing and updating curriculum to reflect state of the</w:t>
            </w:r>
            <w:r>
              <w:rPr>
                <w:spacing w:val="-44"/>
              </w:rPr>
              <w:t xml:space="preserve"> </w:t>
            </w:r>
            <w:r>
              <w:t>art</w:t>
            </w:r>
          </w:p>
          <w:p w14:paraId="18BD341C" w14:textId="77777777" w:rsidR="00C11340" w:rsidRDefault="00C11340" w:rsidP="00F61809">
            <w:pPr>
              <w:pStyle w:val="TableParagraph"/>
              <w:numPr>
                <w:ilvl w:val="0"/>
                <w:numId w:val="6"/>
              </w:numPr>
              <w:tabs>
                <w:tab w:val="left" w:pos="487"/>
                <w:tab w:val="left" w:pos="488"/>
              </w:tabs>
              <w:ind w:right="826"/>
            </w:pPr>
            <w:r>
              <w:t>Incorporating</w:t>
            </w:r>
            <w:r>
              <w:rPr>
                <w:spacing w:val="-12"/>
              </w:rPr>
              <w:t xml:space="preserve"> </w:t>
            </w:r>
            <w:r>
              <w:t>inclusivity</w:t>
            </w:r>
            <w:r>
              <w:rPr>
                <w:spacing w:val="-7"/>
              </w:rPr>
              <w:t xml:space="preserve"> </w:t>
            </w:r>
            <w:r>
              <w:t>into</w:t>
            </w:r>
            <w:r>
              <w:rPr>
                <w:spacing w:val="-7"/>
              </w:rPr>
              <w:t xml:space="preserve"> </w:t>
            </w:r>
            <w:r>
              <w:t>curriculum,</w:t>
            </w:r>
            <w:r>
              <w:rPr>
                <w:spacing w:val="-11"/>
              </w:rPr>
              <w:t xml:space="preserve"> </w:t>
            </w:r>
            <w:r>
              <w:t>design</w:t>
            </w:r>
            <w:r>
              <w:rPr>
                <w:spacing w:val="-30"/>
              </w:rPr>
              <w:t xml:space="preserve"> </w:t>
            </w:r>
            <w:r>
              <w:t>principles and delivery</w:t>
            </w:r>
            <w:r>
              <w:rPr>
                <w:spacing w:val="-3"/>
              </w:rPr>
              <w:t xml:space="preserve"> </w:t>
            </w:r>
            <w:r>
              <w:t>approaches</w:t>
            </w:r>
          </w:p>
          <w:p w14:paraId="2D84E825" w14:textId="77777777" w:rsidR="00C11340" w:rsidRDefault="00C11340" w:rsidP="00F61809">
            <w:pPr>
              <w:pStyle w:val="TableParagraph"/>
              <w:numPr>
                <w:ilvl w:val="0"/>
                <w:numId w:val="6"/>
              </w:numPr>
              <w:tabs>
                <w:tab w:val="left" w:pos="487"/>
                <w:tab w:val="left" w:pos="488"/>
              </w:tabs>
              <w:spacing w:before="8" w:line="279" w:lineRule="exact"/>
            </w:pPr>
            <w:r>
              <w:t>Development of innovative delivery</w:t>
            </w:r>
            <w:r>
              <w:rPr>
                <w:spacing w:val="-19"/>
              </w:rPr>
              <w:t xml:space="preserve"> </w:t>
            </w:r>
            <w:r>
              <w:t>modes</w:t>
            </w:r>
          </w:p>
          <w:p w14:paraId="5ECAA257" w14:textId="77777777" w:rsidR="00C11340" w:rsidRDefault="00C11340" w:rsidP="00F61809">
            <w:pPr>
              <w:pStyle w:val="TableParagraph"/>
              <w:numPr>
                <w:ilvl w:val="0"/>
                <w:numId w:val="6"/>
              </w:numPr>
              <w:tabs>
                <w:tab w:val="left" w:pos="487"/>
                <w:tab w:val="left" w:pos="488"/>
              </w:tabs>
              <w:spacing w:line="279" w:lineRule="exact"/>
            </w:pPr>
            <w:r>
              <w:t>Development of novel assessment</w:t>
            </w:r>
            <w:r>
              <w:rPr>
                <w:spacing w:val="-15"/>
              </w:rPr>
              <w:t xml:space="preserve"> </w:t>
            </w:r>
            <w:r>
              <w:t>techniques</w:t>
            </w:r>
          </w:p>
          <w:p w14:paraId="1EC2C7B6" w14:textId="77777777" w:rsidR="00C11340" w:rsidRDefault="00C11340" w:rsidP="00F61809">
            <w:pPr>
              <w:pStyle w:val="TableParagraph"/>
              <w:spacing w:before="9"/>
              <w:rPr>
                <w:rFonts w:ascii="Times New Roman"/>
              </w:rPr>
            </w:pPr>
          </w:p>
          <w:p w14:paraId="49D9A18A" w14:textId="6AB5FB2F" w:rsidR="00C11340" w:rsidRDefault="00C11340" w:rsidP="00F61809">
            <w:pPr>
              <w:pStyle w:val="TableParagraph"/>
              <w:ind w:left="134" w:right="1053"/>
            </w:pPr>
            <w:r>
              <w:t>At module, and wider programme, level considers impact of teaching on student experience and outcomes. Designs and implements positive changes to programme individually or collaboratively, taking account of lessons learned and sharing of ideas with department/programme colleagues. Changes are evidence- based, including consideration of relevant education scholarship (literature, talks attended).</w:t>
            </w:r>
          </w:p>
        </w:tc>
        <w:tc>
          <w:tcPr>
            <w:tcW w:w="6446" w:type="dxa"/>
          </w:tcPr>
          <w:p w14:paraId="58552067" w14:textId="61523861" w:rsidR="00C11340" w:rsidRDefault="00C11340" w:rsidP="00F61809">
            <w:pPr>
              <w:pStyle w:val="TableParagraph"/>
              <w:spacing w:before="3" w:line="235" w:lineRule="auto"/>
              <w:ind w:left="130" w:right="314"/>
            </w:pPr>
            <w:r>
              <w:t>Evidence of sustained and innovative contributions to education at the departmental level or more widely.</w:t>
            </w:r>
          </w:p>
          <w:p w14:paraId="54C8EA9B" w14:textId="77777777" w:rsidR="00C11340" w:rsidRDefault="00C11340" w:rsidP="00F61809">
            <w:pPr>
              <w:pStyle w:val="TableParagraph"/>
              <w:spacing w:before="12" w:line="265" w:lineRule="exact"/>
              <w:ind w:left="130"/>
            </w:pPr>
            <w:r>
              <w:t>For example,</w:t>
            </w:r>
          </w:p>
          <w:p w14:paraId="3ADD1852" w14:textId="77777777" w:rsidR="00C11340" w:rsidRDefault="00C11340" w:rsidP="00F61809">
            <w:pPr>
              <w:pStyle w:val="TableParagraph"/>
              <w:numPr>
                <w:ilvl w:val="0"/>
                <w:numId w:val="5"/>
              </w:numPr>
              <w:tabs>
                <w:tab w:val="left" w:pos="490"/>
                <w:tab w:val="left" w:pos="491"/>
              </w:tabs>
              <w:spacing w:line="275" w:lineRule="exact"/>
              <w:ind w:hanging="361"/>
            </w:pPr>
            <w:r>
              <w:t>Innovating on assessment</w:t>
            </w:r>
            <w:r>
              <w:rPr>
                <w:spacing w:val="-14"/>
              </w:rPr>
              <w:t xml:space="preserve"> </w:t>
            </w:r>
            <w:r>
              <w:t>strategy</w:t>
            </w:r>
          </w:p>
          <w:p w14:paraId="4EFADDBA" w14:textId="77777777" w:rsidR="00C11340" w:rsidRDefault="00C11340" w:rsidP="00F61809">
            <w:pPr>
              <w:pStyle w:val="TableParagraph"/>
              <w:numPr>
                <w:ilvl w:val="0"/>
                <w:numId w:val="5"/>
              </w:numPr>
              <w:tabs>
                <w:tab w:val="left" w:pos="490"/>
                <w:tab w:val="left" w:pos="491"/>
              </w:tabs>
              <w:ind w:right="517"/>
            </w:pPr>
            <w:r>
              <w:t>Innovating on how pastoral care is provided at departmental or faculty</w:t>
            </w:r>
            <w:r>
              <w:rPr>
                <w:spacing w:val="-2"/>
              </w:rPr>
              <w:t xml:space="preserve"> </w:t>
            </w:r>
            <w:r>
              <w:t>level</w:t>
            </w:r>
          </w:p>
          <w:p w14:paraId="0918FD8B" w14:textId="77777777" w:rsidR="00C11340" w:rsidRDefault="00C11340" w:rsidP="00F61809">
            <w:pPr>
              <w:pStyle w:val="TableParagraph"/>
              <w:numPr>
                <w:ilvl w:val="0"/>
                <w:numId w:val="5"/>
              </w:numPr>
              <w:tabs>
                <w:tab w:val="left" w:pos="490"/>
                <w:tab w:val="left" w:pos="491"/>
              </w:tabs>
              <w:spacing w:line="242" w:lineRule="auto"/>
              <w:ind w:right="997"/>
            </w:pPr>
            <w:r>
              <w:t>Embedding the themes of the academic strategy across programmes</w:t>
            </w:r>
          </w:p>
          <w:p w14:paraId="1EC3703A" w14:textId="77777777" w:rsidR="00C11340" w:rsidRDefault="00C11340" w:rsidP="00F61809">
            <w:pPr>
              <w:pStyle w:val="TableParagraph"/>
              <w:numPr>
                <w:ilvl w:val="0"/>
                <w:numId w:val="5"/>
              </w:numPr>
              <w:tabs>
                <w:tab w:val="left" w:pos="490"/>
                <w:tab w:val="left" w:pos="491"/>
              </w:tabs>
              <w:ind w:hanging="361"/>
            </w:pPr>
            <w:r>
              <w:t>Streamlining of quality assurance and approval</w:t>
            </w:r>
            <w:r>
              <w:rPr>
                <w:spacing w:val="-24"/>
              </w:rPr>
              <w:t xml:space="preserve"> </w:t>
            </w:r>
            <w:r>
              <w:t>processes</w:t>
            </w:r>
          </w:p>
          <w:p w14:paraId="4AB5136C" w14:textId="77777777" w:rsidR="00C11340" w:rsidRDefault="00C11340" w:rsidP="00F61809">
            <w:pPr>
              <w:pStyle w:val="TableParagraph"/>
              <w:spacing w:before="10"/>
              <w:rPr>
                <w:rFonts w:ascii="Times New Roman"/>
              </w:rPr>
            </w:pPr>
          </w:p>
          <w:p w14:paraId="1FB6F279" w14:textId="49A424F7" w:rsidR="00C11340" w:rsidRDefault="00C11340" w:rsidP="00F61809">
            <w:pPr>
              <w:pStyle w:val="TableParagraph"/>
              <w:ind w:left="130" w:right="357"/>
            </w:pPr>
            <w:r>
              <w:t xml:space="preserve">Across programmes or </w:t>
            </w:r>
            <w:r w:rsidR="00CC0052">
              <w:t>d</w:t>
            </w:r>
            <w:r>
              <w:t xml:space="preserve">epartment, considers impact of teaching on student experience and outcomes. Designs and implements positive changes within and across programmes, taking account of lessons learned and sharing of ideas with colleagues within and beyond the </w:t>
            </w:r>
            <w:r w:rsidR="00CC0052">
              <w:t>d</w:t>
            </w:r>
            <w:r>
              <w:t>epartment.</w:t>
            </w:r>
          </w:p>
          <w:p w14:paraId="3D171216" w14:textId="4880D670" w:rsidR="00C11340" w:rsidRDefault="00C11340" w:rsidP="00F61809">
            <w:pPr>
              <w:pStyle w:val="TableParagraph"/>
              <w:spacing w:before="6" w:line="268" w:lineRule="exact"/>
              <w:ind w:left="135"/>
            </w:pPr>
            <w:r>
              <w:t>Changes are evidence-based, including consideration of relevant education scholarship (literature, talks attended).</w:t>
            </w:r>
          </w:p>
        </w:tc>
      </w:tr>
      <w:tr w:rsidR="00C11340" w14:paraId="09DF81E8" w14:textId="77777777" w:rsidTr="79CD534C">
        <w:trPr>
          <w:trHeight w:val="567"/>
        </w:trPr>
        <w:tc>
          <w:tcPr>
            <w:tcW w:w="2282" w:type="dxa"/>
            <w:vMerge/>
          </w:tcPr>
          <w:p w14:paraId="1EB8879A" w14:textId="58F38A25" w:rsidR="00C11340" w:rsidRDefault="00C11340" w:rsidP="00F61809">
            <w:pPr>
              <w:pStyle w:val="TableParagraph"/>
              <w:rPr>
                <w:rFonts w:ascii="Times New Roman"/>
              </w:rPr>
            </w:pPr>
          </w:p>
        </w:tc>
        <w:tc>
          <w:tcPr>
            <w:tcW w:w="6448" w:type="dxa"/>
          </w:tcPr>
          <w:p w14:paraId="2836EF0C" w14:textId="69824D45" w:rsidR="00C11340" w:rsidRDefault="00C11340" w:rsidP="00F61809">
            <w:pPr>
              <w:pStyle w:val="TableParagraph"/>
              <w:spacing w:before="3" w:line="235" w:lineRule="auto"/>
              <w:ind w:left="127" w:right="1261"/>
            </w:pPr>
            <w:r>
              <w:t>Works collaboratively and in partnership with students to enhance the curriculum or learning experience (e.g. through the StudentShapers programme).</w:t>
            </w:r>
          </w:p>
        </w:tc>
        <w:tc>
          <w:tcPr>
            <w:tcW w:w="6446" w:type="dxa"/>
          </w:tcPr>
          <w:p w14:paraId="5E7D5981" w14:textId="67AFBC6E" w:rsidR="00C11340" w:rsidRDefault="00C11340" w:rsidP="00F61809">
            <w:pPr>
              <w:pStyle w:val="TableParagraph"/>
              <w:spacing w:before="3" w:line="235" w:lineRule="auto"/>
              <w:ind w:left="130" w:right="314"/>
            </w:pPr>
            <w:r>
              <w:t>Communicates experience and expertise on education matters to steer internal policy and to support external-facing strategies (e.g. TEF / accreditation, lifelong learning).</w:t>
            </w:r>
          </w:p>
        </w:tc>
      </w:tr>
      <w:tr w:rsidR="00C11340" w14:paraId="5D955828" w14:textId="77777777" w:rsidTr="79CD534C">
        <w:trPr>
          <w:trHeight w:val="567"/>
        </w:trPr>
        <w:tc>
          <w:tcPr>
            <w:tcW w:w="2282" w:type="dxa"/>
            <w:vMerge/>
          </w:tcPr>
          <w:p w14:paraId="103B211F" w14:textId="0D284D70" w:rsidR="00C11340" w:rsidRDefault="00C11340" w:rsidP="00F61809">
            <w:pPr>
              <w:pStyle w:val="TableParagraph"/>
              <w:rPr>
                <w:rFonts w:ascii="Times New Roman"/>
              </w:rPr>
            </w:pPr>
          </w:p>
        </w:tc>
        <w:tc>
          <w:tcPr>
            <w:tcW w:w="6448" w:type="dxa"/>
          </w:tcPr>
          <w:p w14:paraId="47725104" w14:textId="4563D384" w:rsidR="00C11340" w:rsidRDefault="00C11340" w:rsidP="00F61809">
            <w:pPr>
              <w:pStyle w:val="TableParagraph"/>
              <w:spacing w:before="3" w:line="235" w:lineRule="auto"/>
              <w:ind w:left="127" w:right="1261"/>
            </w:pPr>
            <w:r>
              <w:t>Responsible for delivering items from action plans (e.g. NSS, PTES, PRES or other relevant survey).</w:t>
            </w:r>
          </w:p>
        </w:tc>
        <w:tc>
          <w:tcPr>
            <w:tcW w:w="6446" w:type="dxa"/>
          </w:tcPr>
          <w:p w14:paraId="079AED7C" w14:textId="3F48C24C" w:rsidR="00C11340" w:rsidRDefault="00C11340" w:rsidP="00F61809">
            <w:pPr>
              <w:pStyle w:val="TableParagraph"/>
              <w:spacing w:before="3" w:line="235" w:lineRule="auto"/>
              <w:ind w:left="130" w:right="314"/>
            </w:pPr>
            <w:r>
              <w:t xml:space="preserve">Participates in Annual Monitoring Review as relevant to the </w:t>
            </w:r>
            <w:r w:rsidR="00CC0052">
              <w:t>d</w:t>
            </w:r>
            <w:r>
              <w:t>epartment and implementation of action plans.</w:t>
            </w:r>
          </w:p>
        </w:tc>
      </w:tr>
      <w:tr w:rsidR="00C11340" w14:paraId="26F3D9E0" w14:textId="77777777" w:rsidTr="79CD534C">
        <w:trPr>
          <w:trHeight w:val="567"/>
        </w:trPr>
        <w:tc>
          <w:tcPr>
            <w:tcW w:w="2282" w:type="dxa"/>
            <w:vMerge w:val="restart"/>
            <w:shd w:val="clear" w:color="auto" w:fill="D9D9D9" w:themeFill="background1" w:themeFillShade="D9"/>
          </w:tcPr>
          <w:p w14:paraId="3AA7FC13" w14:textId="77777777" w:rsidR="0023169D" w:rsidRDefault="0023169D" w:rsidP="0023169D">
            <w:pPr>
              <w:pStyle w:val="TableParagraph"/>
              <w:jc w:val="center"/>
              <w:rPr>
                <w:b/>
              </w:rPr>
            </w:pPr>
          </w:p>
          <w:p w14:paraId="5C36C550" w14:textId="77777777" w:rsidR="0023169D" w:rsidRDefault="0023169D" w:rsidP="0023169D">
            <w:pPr>
              <w:pStyle w:val="TableParagraph"/>
              <w:jc w:val="center"/>
              <w:rPr>
                <w:b/>
              </w:rPr>
            </w:pPr>
          </w:p>
          <w:p w14:paraId="777E7727" w14:textId="77777777" w:rsidR="0023169D" w:rsidRDefault="0023169D" w:rsidP="0023169D">
            <w:pPr>
              <w:pStyle w:val="TableParagraph"/>
              <w:jc w:val="center"/>
              <w:rPr>
                <w:b/>
              </w:rPr>
            </w:pPr>
          </w:p>
          <w:p w14:paraId="339A92BF" w14:textId="77777777" w:rsidR="0023169D" w:rsidRDefault="0023169D" w:rsidP="0023169D">
            <w:pPr>
              <w:pStyle w:val="TableParagraph"/>
              <w:jc w:val="center"/>
              <w:rPr>
                <w:b/>
              </w:rPr>
            </w:pPr>
          </w:p>
          <w:p w14:paraId="3CE53DB4" w14:textId="77777777" w:rsidR="00C11340" w:rsidRDefault="00C11340" w:rsidP="0023169D">
            <w:pPr>
              <w:pStyle w:val="TableParagraph"/>
              <w:jc w:val="center"/>
              <w:rPr>
                <w:b/>
              </w:rPr>
            </w:pPr>
            <w:r>
              <w:rPr>
                <w:b/>
              </w:rPr>
              <w:t>Leadership and Management</w:t>
            </w:r>
          </w:p>
          <w:p w14:paraId="72C59686" w14:textId="77777777" w:rsidR="0023169D" w:rsidRDefault="0023169D" w:rsidP="0023169D">
            <w:pPr>
              <w:pStyle w:val="TableParagraph"/>
              <w:jc w:val="center"/>
              <w:rPr>
                <w:b/>
              </w:rPr>
            </w:pPr>
          </w:p>
          <w:p w14:paraId="4705CE86" w14:textId="77777777" w:rsidR="0023169D" w:rsidRDefault="0023169D" w:rsidP="0023169D">
            <w:pPr>
              <w:pStyle w:val="TableParagraph"/>
              <w:jc w:val="center"/>
              <w:rPr>
                <w:b/>
              </w:rPr>
            </w:pPr>
          </w:p>
          <w:p w14:paraId="1601EBA8" w14:textId="77777777" w:rsidR="0023169D" w:rsidRDefault="0023169D" w:rsidP="0023169D">
            <w:pPr>
              <w:pStyle w:val="TableParagraph"/>
              <w:jc w:val="center"/>
              <w:rPr>
                <w:b/>
              </w:rPr>
            </w:pPr>
          </w:p>
          <w:p w14:paraId="21DAA518" w14:textId="77777777" w:rsidR="0023169D" w:rsidRDefault="0023169D" w:rsidP="0023169D">
            <w:pPr>
              <w:pStyle w:val="TableParagraph"/>
              <w:jc w:val="center"/>
              <w:rPr>
                <w:b/>
              </w:rPr>
            </w:pPr>
          </w:p>
          <w:p w14:paraId="793FBC40" w14:textId="77777777" w:rsidR="0023169D" w:rsidRDefault="0023169D" w:rsidP="0023169D">
            <w:pPr>
              <w:pStyle w:val="TableParagraph"/>
              <w:jc w:val="center"/>
              <w:rPr>
                <w:b/>
              </w:rPr>
            </w:pPr>
          </w:p>
          <w:p w14:paraId="5300BA63" w14:textId="77777777" w:rsidR="0023169D" w:rsidRDefault="0023169D" w:rsidP="0023169D">
            <w:pPr>
              <w:pStyle w:val="TableParagraph"/>
              <w:jc w:val="center"/>
              <w:rPr>
                <w:b/>
              </w:rPr>
            </w:pPr>
          </w:p>
          <w:p w14:paraId="0D15169F" w14:textId="77777777" w:rsidR="0023169D" w:rsidRDefault="0023169D" w:rsidP="0023169D">
            <w:pPr>
              <w:pStyle w:val="TableParagraph"/>
              <w:jc w:val="center"/>
              <w:rPr>
                <w:b/>
              </w:rPr>
            </w:pPr>
          </w:p>
          <w:p w14:paraId="240BE884" w14:textId="77777777" w:rsidR="0023169D" w:rsidRDefault="0023169D" w:rsidP="0023169D">
            <w:pPr>
              <w:pStyle w:val="TableParagraph"/>
              <w:jc w:val="center"/>
              <w:rPr>
                <w:b/>
              </w:rPr>
            </w:pPr>
          </w:p>
          <w:p w14:paraId="7E6E0641" w14:textId="64AB7B7B" w:rsidR="0023169D" w:rsidRDefault="0023169D" w:rsidP="0023169D">
            <w:pPr>
              <w:pStyle w:val="TableParagraph"/>
              <w:jc w:val="center"/>
              <w:rPr>
                <w:rFonts w:ascii="Times New Roman"/>
              </w:rPr>
            </w:pPr>
            <w:r>
              <w:rPr>
                <w:b/>
              </w:rPr>
              <w:t>continued</w:t>
            </w:r>
          </w:p>
        </w:tc>
        <w:tc>
          <w:tcPr>
            <w:tcW w:w="6448" w:type="dxa"/>
          </w:tcPr>
          <w:p w14:paraId="6636FA75" w14:textId="77777777" w:rsidR="00C11340" w:rsidRDefault="00C11340" w:rsidP="00C11340">
            <w:pPr>
              <w:pStyle w:val="TableParagraph"/>
              <w:spacing w:before="6"/>
              <w:ind w:left="127"/>
            </w:pPr>
            <w:r>
              <w:lastRenderedPageBreak/>
              <w:t>Contributes to management of teaching within the department.</w:t>
            </w:r>
          </w:p>
          <w:p w14:paraId="6633511D" w14:textId="77777777" w:rsidR="00C11340" w:rsidRDefault="00C11340" w:rsidP="00C11340">
            <w:pPr>
              <w:pStyle w:val="TableParagraph"/>
              <w:spacing w:before="9"/>
              <w:rPr>
                <w:rFonts w:ascii="Times New Roman"/>
              </w:rPr>
            </w:pPr>
          </w:p>
          <w:p w14:paraId="5DF2E85E" w14:textId="59BBB3FA" w:rsidR="00C11340" w:rsidRDefault="00C11340" w:rsidP="00C11340">
            <w:pPr>
              <w:pStyle w:val="TableParagraph"/>
              <w:spacing w:before="3" w:line="235" w:lineRule="auto"/>
              <w:ind w:left="127" w:right="1261"/>
            </w:pPr>
            <w:r>
              <w:t>Might hold a departmental position in teaching e.g., Programme Coordinator, Year Coordinator or Senior Tutor or other position relevant to non-credit bearing provision.</w:t>
            </w:r>
          </w:p>
        </w:tc>
        <w:tc>
          <w:tcPr>
            <w:tcW w:w="6446" w:type="dxa"/>
          </w:tcPr>
          <w:p w14:paraId="10F473FC" w14:textId="321DBF66" w:rsidR="00C11340" w:rsidRDefault="00C11340" w:rsidP="00C11340">
            <w:pPr>
              <w:pStyle w:val="TableParagraph"/>
              <w:spacing w:line="242" w:lineRule="auto"/>
              <w:ind w:left="132" w:right="514"/>
            </w:pPr>
            <w:r>
              <w:t xml:space="preserve">Makes a significant contribution to leadership of teaching within the </w:t>
            </w:r>
            <w:r w:rsidR="00CC0052">
              <w:t>d</w:t>
            </w:r>
            <w:r>
              <w:t>epartment or across programmes, with evidence of impact.</w:t>
            </w:r>
          </w:p>
          <w:p w14:paraId="0D124F2F" w14:textId="77777777" w:rsidR="00C11340" w:rsidRDefault="00C11340" w:rsidP="00C11340">
            <w:pPr>
              <w:pStyle w:val="TableParagraph"/>
              <w:rPr>
                <w:rFonts w:ascii="Times New Roman"/>
                <w:sz w:val="23"/>
              </w:rPr>
            </w:pPr>
          </w:p>
          <w:p w14:paraId="1A68668D" w14:textId="325265C0" w:rsidR="00C11340" w:rsidRDefault="00C11340" w:rsidP="00222FB7">
            <w:pPr>
              <w:pStyle w:val="TableParagraph"/>
              <w:spacing w:before="1"/>
              <w:ind w:left="132" w:right="474"/>
            </w:pPr>
            <w:r>
              <w:t>Might hold a departmental leadership role in teaching or student experience.</w:t>
            </w:r>
            <w:r w:rsidR="00670F25">
              <w:t xml:space="preserve"> </w:t>
            </w:r>
            <w:r>
              <w:t>For example:</w:t>
            </w:r>
          </w:p>
          <w:p w14:paraId="3232E027" w14:textId="77777777" w:rsidR="00C11340" w:rsidRDefault="00C11340" w:rsidP="00C11340">
            <w:pPr>
              <w:pStyle w:val="TableParagraph"/>
              <w:numPr>
                <w:ilvl w:val="0"/>
                <w:numId w:val="4"/>
              </w:numPr>
              <w:tabs>
                <w:tab w:val="left" w:pos="492"/>
                <w:tab w:val="left" w:pos="493"/>
              </w:tabs>
              <w:spacing w:before="1"/>
            </w:pPr>
            <w:r>
              <w:t>Deputy Director of</w:t>
            </w:r>
            <w:r>
              <w:rPr>
                <w:spacing w:val="-9"/>
              </w:rPr>
              <w:t xml:space="preserve"> </w:t>
            </w:r>
            <w:r>
              <w:t>Studies</w:t>
            </w:r>
          </w:p>
          <w:p w14:paraId="4BF3A8A7" w14:textId="77777777" w:rsidR="00C11340" w:rsidRDefault="00C11340" w:rsidP="00C11340">
            <w:pPr>
              <w:pStyle w:val="TableParagraph"/>
              <w:numPr>
                <w:ilvl w:val="0"/>
                <w:numId w:val="4"/>
              </w:numPr>
              <w:tabs>
                <w:tab w:val="left" w:pos="495"/>
                <w:tab w:val="left" w:pos="496"/>
              </w:tabs>
              <w:spacing w:before="1" w:line="275" w:lineRule="exact"/>
            </w:pPr>
            <w:r>
              <w:t>Programme Director for an MSc</w:t>
            </w:r>
            <w:r>
              <w:rPr>
                <w:spacing w:val="-14"/>
              </w:rPr>
              <w:t xml:space="preserve"> </w:t>
            </w:r>
            <w:r>
              <w:t>programme</w:t>
            </w:r>
          </w:p>
          <w:p w14:paraId="65DC0665" w14:textId="6AAEB8EB" w:rsidR="00C11340" w:rsidRDefault="00C11340" w:rsidP="00C11340">
            <w:pPr>
              <w:pStyle w:val="TableParagraph"/>
              <w:numPr>
                <w:ilvl w:val="0"/>
                <w:numId w:val="4"/>
              </w:numPr>
              <w:tabs>
                <w:tab w:val="left" w:pos="495"/>
                <w:tab w:val="left" w:pos="496"/>
              </w:tabs>
              <w:spacing w:before="1" w:line="275" w:lineRule="exact"/>
            </w:pPr>
            <w:r>
              <w:t>Overseeing assessment procedures for the</w:t>
            </w:r>
            <w:r w:rsidRPr="00C11340">
              <w:rPr>
                <w:spacing w:val="-25"/>
              </w:rPr>
              <w:t xml:space="preserve"> </w:t>
            </w:r>
            <w:r>
              <w:t>department</w:t>
            </w:r>
          </w:p>
          <w:p w14:paraId="44EE4AAD" w14:textId="77777777" w:rsidR="00C11340" w:rsidRDefault="00C11340" w:rsidP="00C11340">
            <w:pPr>
              <w:pStyle w:val="TableParagraph"/>
              <w:numPr>
                <w:ilvl w:val="0"/>
                <w:numId w:val="4"/>
              </w:numPr>
              <w:tabs>
                <w:tab w:val="left" w:pos="487"/>
                <w:tab w:val="left" w:pos="488"/>
              </w:tabs>
              <w:spacing w:before="4" w:line="279" w:lineRule="exact"/>
            </w:pPr>
            <w:r>
              <w:t>Leading industrial</w:t>
            </w:r>
            <w:r>
              <w:rPr>
                <w:spacing w:val="-7"/>
              </w:rPr>
              <w:t xml:space="preserve"> </w:t>
            </w:r>
            <w:r>
              <w:t>liaison</w:t>
            </w:r>
          </w:p>
          <w:p w14:paraId="04B39D9A" w14:textId="77777777" w:rsidR="00C11340" w:rsidRDefault="00C11340" w:rsidP="00C11340">
            <w:pPr>
              <w:pStyle w:val="TableParagraph"/>
              <w:numPr>
                <w:ilvl w:val="0"/>
                <w:numId w:val="4"/>
              </w:numPr>
              <w:tabs>
                <w:tab w:val="left" w:pos="487"/>
                <w:tab w:val="left" w:pos="488"/>
              </w:tabs>
              <w:spacing w:line="277" w:lineRule="exact"/>
            </w:pPr>
            <w:r>
              <w:t>Overseeing departmental admissions and</w:t>
            </w:r>
            <w:r>
              <w:rPr>
                <w:spacing w:val="-1"/>
              </w:rPr>
              <w:t xml:space="preserve"> </w:t>
            </w:r>
            <w:r>
              <w:t>student recruitment</w:t>
            </w:r>
          </w:p>
          <w:p w14:paraId="79B1CCBF" w14:textId="3107FA8D" w:rsidR="00C11340" w:rsidRDefault="00C11340" w:rsidP="00C11340">
            <w:pPr>
              <w:pStyle w:val="TableParagraph"/>
              <w:numPr>
                <w:ilvl w:val="0"/>
                <w:numId w:val="4"/>
              </w:numPr>
              <w:tabs>
                <w:tab w:val="left" w:pos="490"/>
                <w:tab w:val="left" w:pos="491"/>
              </w:tabs>
              <w:spacing w:line="278" w:lineRule="exact"/>
            </w:pPr>
            <w:r>
              <w:lastRenderedPageBreak/>
              <w:t>Leading initiatives enhancing student welfare or</w:t>
            </w:r>
            <w:r w:rsidR="00670F25">
              <w:t xml:space="preserve"> </w:t>
            </w:r>
            <w:r>
              <w:rPr>
                <w:spacing w:val="-32"/>
              </w:rPr>
              <w:t xml:space="preserve"> </w:t>
            </w:r>
            <w:r>
              <w:t>tutoring</w:t>
            </w:r>
          </w:p>
          <w:p w14:paraId="4AC9489F" w14:textId="3508B73F" w:rsidR="00C11340" w:rsidRDefault="00C11340" w:rsidP="00222FB7">
            <w:pPr>
              <w:pStyle w:val="TableParagraph"/>
              <w:numPr>
                <w:ilvl w:val="0"/>
                <w:numId w:val="4"/>
              </w:numPr>
              <w:tabs>
                <w:tab w:val="left" w:pos="495"/>
                <w:tab w:val="left" w:pos="496"/>
              </w:tabs>
              <w:spacing w:before="1" w:line="275" w:lineRule="exact"/>
            </w:pPr>
            <w:r>
              <w:t>Leading development projects that innovate, enhance and expand provision in collaboration with colleagues</w:t>
            </w:r>
          </w:p>
        </w:tc>
      </w:tr>
      <w:tr w:rsidR="00C11340" w14:paraId="70C2B1B4" w14:textId="77777777" w:rsidTr="79CD534C">
        <w:trPr>
          <w:trHeight w:val="567"/>
        </w:trPr>
        <w:tc>
          <w:tcPr>
            <w:tcW w:w="2282" w:type="dxa"/>
            <w:vMerge/>
          </w:tcPr>
          <w:p w14:paraId="40A794EB" w14:textId="77777777" w:rsidR="00C11340" w:rsidRDefault="00C11340" w:rsidP="00C11340">
            <w:pPr>
              <w:pStyle w:val="TableParagraph"/>
              <w:rPr>
                <w:rFonts w:ascii="Times New Roman"/>
              </w:rPr>
            </w:pPr>
          </w:p>
        </w:tc>
        <w:tc>
          <w:tcPr>
            <w:tcW w:w="6448" w:type="dxa"/>
          </w:tcPr>
          <w:p w14:paraId="7808D01D" w14:textId="51661F75" w:rsidR="00C11340" w:rsidRDefault="00C11340" w:rsidP="00C11340">
            <w:pPr>
              <w:pStyle w:val="TableParagraph"/>
              <w:spacing w:before="6"/>
              <w:ind w:left="127"/>
            </w:pPr>
            <w:r>
              <w:t>Is engaged in mentoring colleagues and/or GTAs and staff to improve teaching within the relevant programme.</w:t>
            </w:r>
          </w:p>
        </w:tc>
        <w:tc>
          <w:tcPr>
            <w:tcW w:w="6446" w:type="dxa"/>
          </w:tcPr>
          <w:p w14:paraId="0524D316" w14:textId="18C889FF" w:rsidR="00C11340" w:rsidRDefault="00C11340" w:rsidP="00C11340">
            <w:pPr>
              <w:pStyle w:val="TableParagraph"/>
              <w:spacing w:line="242" w:lineRule="auto"/>
              <w:ind w:left="132" w:right="514"/>
            </w:pPr>
            <w:r>
              <w:t xml:space="preserve">Actively contributes to initiatives and processes that spread good educational practices throughout their </w:t>
            </w:r>
            <w:r w:rsidR="00CC0052">
              <w:t>d</w:t>
            </w:r>
            <w:r>
              <w:t xml:space="preserve">epartment / </w:t>
            </w:r>
            <w:r w:rsidR="00CC0052">
              <w:t>f</w:t>
            </w:r>
            <w:r>
              <w:t>aculty / service area.</w:t>
            </w:r>
          </w:p>
        </w:tc>
      </w:tr>
      <w:tr w:rsidR="00C11340" w14:paraId="04672EB6" w14:textId="77777777" w:rsidTr="79CD534C">
        <w:trPr>
          <w:trHeight w:val="567"/>
        </w:trPr>
        <w:tc>
          <w:tcPr>
            <w:tcW w:w="2282" w:type="dxa"/>
            <w:vMerge/>
          </w:tcPr>
          <w:p w14:paraId="5E386017" w14:textId="77777777" w:rsidR="00C11340" w:rsidRDefault="00C11340" w:rsidP="00C11340">
            <w:pPr>
              <w:pStyle w:val="TableParagraph"/>
              <w:rPr>
                <w:rFonts w:ascii="Times New Roman"/>
              </w:rPr>
            </w:pPr>
          </w:p>
        </w:tc>
        <w:tc>
          <w:tcPr>
            <w:tcW w:w="6448" w:type="dxa"/>
          </w:tcPr>
          <w:p w14:paraId="33CB4479" w14:textId="6A0B2CBF" w:rsidR="00C11340" w:rsidRDefault="00C11340" w:rsidP="00C11340">
            <w:pPr>
              <w:pStyle w:val="TableParagraph"/>
              <w:spacing w:before="6"/>
              <w:ind w:left="127"/>
            </w:pPr>
            <w:r>
              <w:t>Contributes to departmental learning and teaching strategy.</w:t>
            </w:r>
          </w:p>
        </w:tc>
        <w:tc>
          <w:tcPr>
            <w:tcW w:w="6446" w:type="dxa"/>
          </w:tcPr>
          <w:p w14:paraId="180EA1F0" w14:textId="49C088EE" w:rsidR="00C11340" w:rsidRDefault="00C11340" w:rsidP="00C11340">
            <w:pPr>
              <w:pStyle w:val="TableParagraph"/>
              <w:spacing w:line="242" w:lineRule="auto"/>
              <w:ind w:left="132" w:right="514"/>
            </w:pPr>
            <w:r>
              <w:t>Actively mentors other learning and teaching staff to help them with their own career development.</w:t>
            </w:r>
          </w:p>
        </w:tc>
      </w:tr>
      <w:tr w:rsidR="00C11340" w14:paraId="24A5D980" w14:textId="77777777" w:rsidTr="79CD534C">
        <w:trPr>
          <w:trHeight w:val="567"/>
        </w:trPr>
        <w:tc>
          <w:tcPr>
            <w:tcW w:w="2282" w:type="dxa"/>
            <w:vMerge w:val="restart"/>
            <w:shd w:val="clear" w:color="auto" w:fill="D9D9D9" w:themeFill="background1" w:themeFillShade="D9"/>
            <w:vAlign w:val="center"/>
          </w:tcPr>
          <w:p w14:paraId="64DB36C4" w14:textId="6FD44262" w:rsidR="00C11340" w:rsidRDefault="00C11340" w:rsidP="00C11717">
            <w:pPr>
              <w:pStyle w:val="TableParagraph"/>
              <w:jc w:val="center"/>
              <w:rPr>
                <w:rFonts w:ascii="Times New Roman"/>
              </w:rPr>
            </w:pPr>
            <w:r>
              <w:rPr>
                <w:b/>
              </w:rPr>
              <w:t>Professional Practice and Scholarship</w:t>
            </w:r>
          </w:p>
        </w:tc>
        <w:tc>
          <w:tcPr>
            <w:tcW w:w="6448" w:type="dxa"/>
          </w:tcPr>
          <w:p w14:paraId="513CCE15" w14:textId="5E14D960" w:rsidR="00C11340" w:rsidRDefault="00C11340" w:rsidP="00222FB7">
            <w:pPr>
              <w:pStyle w:val="TableParagraph"/>
              <w:spacing w:before="1" w:line="259" w:lineRule="auto"/>
              <w:ind w:left="127" w:right="762"/>
            </w:pPr>
            <w:r>
              <w:t>Demonstrates continuous improvement in their own practice  over time.</w:t>
            </w:r>
            <w:r w:rsidR="00670F25">
              <w:t xml:space="preserve"> </w:t>
            </w:r>
            <w:r>
              <w:t>For example</w:t>
            </w:r>
            <w:r w:rsidR="00670F25">
              <w:t>:</w:t>
            </w:r>
          </w:p>
          <w:p w14:paraId="24BAD326" w14:textId="77777777" w:rsidR="00C11340" w:rsidRDefault="00C11340" w:rsidP="00C11340">
            <w:pPr>
              <w:pStyle w:val="TableParagraph"/>
              <w:numPr>
                <w:ilvl w:val="0"/>
                <w:numId w:val="2"/>
              </w:numPr>
              <w:tabs>
                <w:tab w:val="left" w:pos="487"/>
                <w:tab w:val="left" w:pos="488"/>
              </w:tabs>
              <w:spacing w:before="15"/>
              <w:ind w:right="522"/>
            </w:pPr>
            <w:r>
              <w:t>The</w:t>
            </w:r>
            <w:r>
              <w:rPr>
                <w:spacing w:val="-1"/>
              </w:rPr>
              <w:t xml:space="preserve"> </w:t>
            </w:r>
            <w:r>
              <w:t>application</w:t>
            </w:r>
            <w:r>
              <w:rPr>
                <w:spacing w:val="-5"/>
              </w:rPr>
              <w:t xml:space="preserve"> </w:t>
            </w:r>
            <w:r>
              <w:t>of</w:t>
            </w:r>
            <w:r>
              <w:rPr>
                <w:spacing w:val="-2"/>
              </w:rPr>
              <w:t xml:space="preserve"> </w:t>
            </w:r>
            <w:r>
              <w:t>scholarship</w:t>
            </w:r>
            <w:r>
              <w:rPr>
                <w:spacing w:val="-3"/>
              </w:rPr>
              <w:t xml:space="preserve"> </w:t>
            </w:r>
            <w:r>
              <w:t>in</w:t>
            </w:r>
            <w:r>
              <w:rPr>
                <w:spacing w:val="-3"/>
              </w:rPr>
              <w:t xml:space="preserve"> </w:t>
            </w:r>
            <w:r>
              <w:t>educational</w:t>
            </w:r>
            <w:r>
              <w:rPr>
                <w:spacing w:val="-4"/>
              </w:rPr>
              <w:t xml:space="preserve"> </w:t>
            </w:r>
            <w:r>
              <w:t>theory</w:t>
            </w:r>
            <w:r>
              <w:rPr>
                <w:spacing w:val="-3"/>
              </w:rPr>
              <w:t xml:space="preserve"> </w:t>
            </w:r>
            <w:r>
              <w:t>and</w:t>
            </w:r>
            <w:r>
              <w:rPr>
                <w:spacing w:val="-22"/>
              </w:rPr>
              <w:t xml:space="preserve"> </w:t>
            </w:r>
            <w:r>
              <w:t>best practice</w:t>
            </w:r>
          </w:p>
          <w:p w14:paraId="2E431247" w14:textId="77777777" w:rsidR="00C11340" w:rsidRDefault="00C11340" w:rsidP="00C11340">
            <w:pPr>
              <w:pStyle w:val="TableParagraph"/>
              <w:numPr>
                <w:ilvl w:val="0"/>
                <w:numId w:val="2"/>
              </w:numPr>
              <w:tabs>
                <w:tab w:val="left" w:pos="487"/>
                <w:tab w:val="left" w:pos="488"/>
              </w:tabs>
              <w:ind w:right="1012" w:hanging="361"/>
            </w:pPr>
            <w:r>
              <w:t>A</w:t>
            </w:r>
            <w:r>
              <w:rPr>
                <w:spacing w:val="-3"/>
              </w:rPr>
              <w:t xml:space="preserve"> </w:t>
            </w:r>
            <w:r>
              <w:t>commitment</w:t>
            </w:r>
            <w:r>
              <w:rPr>
                <w:spacing w:val="-4"/>
              </w:rPr>
              <w:t xml:space="preserve"> </w:t>
            </w:r>
            <w:r>
              <w:t>to</w:t>
            </w:r>
            <w:r>
              <w:rPr>
                <w:spacing w:val="-3"/>
              </w:rPr>
              <w:t xml:space="preserve"> </w:t>
            </w:r>
            <w:r>
              <w:t>maintaining</w:t>
            </w:r>
            <w:r>
              <w:rPr>
                <w:spacing w:val="-3"/>
              </w:rPr>
              <w:t xml:space="preserve"> </w:t>
            </w:r>
            <w:r>
              <w:t>state</w:t>
            </w:r>
            <w:r>
              <w:rPr>
                <w:spacing w:val="-4"/>
              </w:rPr>
              <w:t xml:space="preserve"> </w:t>
            </w:r>
            <w:r>
              <w:t>of</w:t>
            </w:r>
            <w:r>
              <w:rPr>
                <w:spacing w:val="-5"/>
              </w:rPr>
              <w:t xml:space="preserve"> </w:t>
            </w:r>
            <w:r>
              <w:t>the</w:t>
            </w:r>
            <w:r>
              <w:rPr>
                <w:spacing w:val="-1"/>
              </w:rPr>
              <w:t xml:space="preserve"> </w:t>
            </w:r>
            <w:r>
              <w:t>art</w:t>
            </w:r>
            <w:r>
              <w:rPr>
                <w:spacing w:val="-26"/>
              </w:rPr>
              <w:t xml:space="preserve"> </w:t>
            </w:r>
            <w:r>
              <w:t>discipline knowledge and</w:t>
            </w:r>
            <w:r>
              <w:rPr>
                <w:spacing w:val="-3"/>
              </w:rPr>
              <w:t xml:space="preserve"> </w:t>
            </w:r>
            <w:r>
              <w:t>skills</w:t>
            </w:r>
          </w:p>
          <w:p w14:paraId="48D0FC0E" w14:textId="5E20ED7B" w:rsidR="00C11340" w:rsidRDefault="00C11340" w:rsidP="00C11340">
            <w:pPr>
              <w:pStyle w:val="TableParagraph"/>
              <w:spacing w:before="3" w:line="235" w:lineRule="auto"/>
              <w:ind w:left="127" w:right="1261"/>
            </w:pPr>
            <w:r>
              <w:t>Ensuring current connections to developments in commercial or policy arena, ensuring module develops knowledge and skills required for life after the</w:t>
            </w:r>
            <w:r>
              <w:rPr>
                <w:spacing w:val="-9"/>
              </w:rPr>
              <w:t xml:space="preserve"> </w:t>
            </w:r>
            <w:r>
              <w:t>degree</w:t>
            </w:r>
          </w:p>
        </w:tc>
        <w:tc>
          <w:tcPr>
            <w:tcW w:w="6446" w:type="dxa"/>
          </w:tcPr>
          <w:p w14:paraId="2645C93B" w14:textId="40781952" w:rsidR="00C11340" w:rsidRPr="00222FB7" w:rsidRDefault="00C11340" w:rsidP="00222FB7">
            <w:pPr>
              <w:pStyle w:val="TableParagraph"/>
              <w:spacing w:before="12" w:line="213" w:lineRule="auto"/>
              <w:ind w:left="130" w:right="474"/>
            </w:pPr>
            <w:r>
              <w:t>Shapes the provision of training and development for other staff.</w:t>
            </w:r>
            <w:r w:rsidR="00222FB7">
              <w:t xml:space="preserve"> </w:t>
            </w:r>
            <w:r>
              <w:t>For example</w:t>
            </w:r>
            <w:r w:rsidR="00222FB7">
              <w:t>:</w:t>
            </w:r>
          </w:p>
          <w:p w14:paraId="5E459AFF" w14:textId="77777777" w:rsidR="00C11340" w:rsidRDefault="00C11340" w:rsidP="00C11340">
            <w:pPr>
              <w:pStyle w:val="TableParagraph"/>
              <w:numPr>
                <w:ilvl w:val="0"/>
                <w:numId w:val="1"/>
              </w:numPr>
              <w:tabs>
                <w:tab w:val="left" w:pos="487"/>
                <w:tab w:val="left" w:pos="488"/>
              </w:tabs>
              <w:ind w:left="487" w:hanging="361"/>
            </w:pPr>
            <w:r>
              <w:t>Identifying relevant</w:t>
            </w:r>
            <w:r>
              <w:rPr>
                <w:spacing w:val="-8"/>
              </w:rPr>
              <w:t xml:space="preserve"> </w:t>
            </w:r>
            <w:r>
              <w:t>courses</w:t>
            </w:r>
          </w:p>
          <w:p w14:paraId="2F581C2D" w14:textId="77777777" w:rsidR="00C11340" w:rsidRDefault="00C11340" w:rsidP="00C11340">
            <w:pPr>
              <w:pStyle w:val="TableParagraph"/>
              <w:numPr>
                <w:ilvl w:val="0"/>
                <w:numId w:val="1"/>
              </w:numPr>
              <w:tabs>
                <w:tab w:val="left" w:pos="487"/>
                <w:tab w:val="left" w:pos="488"/>
              </w:tabs>
              <w:spacing w:before="3" w:line="278" w:lineRule="exact"/>
              <w:ind w:left="487" w:hanging="361"/>
            </w:pPr>
            <w:r>
              <w:t>Organising and facilitating teaching away</w:t>
            </w:r>
            <w:r>
              <w:rPr>
                <w:spacing w:val="-16"/>
              </w:rPr>
              <w:t xml:space="preserve"> </w:t>
            </w:r>
            <w:r>
              <w:t>days</w:t>
            </w:r>
          </w:p>
          <w:p w14:paraId="146292C9" w14:textId="623DC7A2" w:rsidR="00C11340" w:rsidRDefault="00C11340" w:rsidP="00C11340">
            <w:pPr>
              <w:pStyle w:val="TableParagraph"/>
              <w:spacing w:before="3" w:line="235" w:lineRule="auto"/>
              <w:ind w:left="130" w:right="314"/>
            </w:pPr>
            <w:r>
              <w:t>Connecting colleagues with alumni and employers, to ensure relevance of modules and</w:t>
            </w:r>
            <w:r>
              <w:rPr>
                <w:spacing w:val="-18"/>
              </w:rPr>
              <w:t xml:space="preserve"> </w:t>
            </w:r>
            <w:r>
              <w:t>programmes</w:t>
            </w:r>
          </w:p>
        </w:tc>
      </w:tr>
      <w:tr w:rsidR="00C11340" w14:paraId="4400DF0C" w14:textId="77777777" w:rsidTr="79CD534C">
        <w:trPr>
          <w:trHeight w:val="567"/>
        </w:trPr>
        <w:tc>
          <w:tcPr>
            <w:tcW w:w="2282" w:type="dxa"/>
            <w:vMerge/>
          </w:tcPr>
          <w:p w14:paraId="7D9A5CBA" w14:textId="77777777" w:rsidR="00C11340" w:rsidRDefault="00C11340" w:rsidP="00C11340">
            <w:pPr>
              <w:pStyle w:val="TableParagraph"/>
              <w:rPr>
                <w:rFonts w:ascii="Times New Roman"/>
              </w:rPr>
            </w:pPr>
          </w:p>
        </w:tc>
        <w:tc>
          <w:tcPr>
            <w:tcW w:w="6448" w:type="dxa"/>
          </w:tcPr>
          <w:p w14:paraId="25E44508" w14:textId="06377415" w:rsidR="00C11340" w:rsidRDefault="00C11340" w:rsidP="00C11340">
            <w:pPr>
              <w:pStyle w:val="TableParagraph"/>
              <w:spacing w:before="1" w:line="259" w:lineRule="auto"/>
              <w:ind w:left="127" w:right="762"/>
            </w:pPr>
            <w:r>
              <w:t>Actively participates in institutional level educational events. ‘Closes the loop’ by disseminating new knowledge to departmental colleagues.</w:t>
            </w:r>
          </w:p>
        </w:tc>
        <w:tc>
          <w:tcPr>
            <w:tcW w:w="6446" w:type="dxa"/>
          </w:tcPr>
          <w:p w14:paraId="41390851" w14:textId="04B36E58" w:rsidR="00C11340" w:rsidRDefault="00C11340" w:rsidP="00C11340">
            <w:pPr>
              <w:pStyle w:val="TableParagraph"/>
              <w:spacing w:before="12" w:line="213" w:lineRule="auto"/>
              <w:ind w:left="130" w:right="474"/>
            </w:pPr>
            <w:r>
              <w:t>Actively participates in relevant conferences and workshops both internally and nationally (e.g., presenting, facilitating breakout groups). ‘Closes the loop’ by disseminating new knowledge to internal colleagues.</w:t>
            </w:r>
          </w:p>
        </w:tc>
      </w:tr>
      <w:tr w:rsidR="00C11340" w14:paraId="641FFDB6" w14:textId="77777777" w:rsidTr="79CD534C">
        <w:trPr>
          <w:trHeight w:val="567"/>
        </w:trPr>
        <w:tc>
          <w:tcPr>
            <w:tcW w:w="2282" w:type="dxa"/>
            <w:shd w:val="clear" w:color="auto" w:fill="D9D9D9" w:themeFill="background1" w:themeFillShade="D9"/>
            <w:vAlign w:val="center"/>
          </w:tcPr>
          <w:p w14:paraId="45000F59" w14:textId="77777777" w:rsidR="00C11340" w:rsidRDefault="00C11340" w:rsidP="00C11717">
            <w:pPr>
              <w:pStyle w:val="TableParagraph"/>
              <w:ind w:right="191"/>
              <w:jc w:val="center"/>
              <w:rPr>
                <w:b/>
              </w:rPr>
            </w:pPr>
            <w:r>
              <w:rPr>
                <w:b/>
              </w:rPr>
              <w:t>Qualifications and Professional Recognition</w:t>
            </w:r>
          </w:p>
        </w:tc>
        <w:tc>
          <w:tcPr>
            <w:tcW w:w="6448" w:type="dxa"/>
          </w:tcPr>
          <w:p w14:paraId="48147612" w14:textId="3FA79E82" w:rsidR="00C11340" w:rsidRDefault="00C11340" w:rsidP="00C11340">
            <w:pPr>
              <w:pStyle w:val="TableParagraph"/>
              <w:ind w:left="134" w:right="811"/>
            </w:pPr>
            <w:r>
              <w:t xml:space="preserve">PGCert level qualification or equivalent in Education required </w:t>
            </w:r>
            <w:r w:rsidR="17164F2D">
              <w:t>AND</w:t>
            </w:r>
          </w:p>
          <w:p w14:paraId="2E599CCE" w14:textId="26573456" w:rsidR="00C11340" w:rsidRDefault="00C11340" w:rsidP="00C11340">
            <w:pPr>
              <w:pStyle w:val="TableParagraph"/>
              <w:ind w:left="134" w:right="811"/>
            </w:pPr>
            <w:r>
              <w:t>Fellowship (FHEA) or similar teaching qualification required</w:t>
            </w:r>
          </w:p>
        </w:tc>
        <w:tc>
          <w:tcPr>
            <w:tcW w:w="6446" w:type="dxa"/>
          </w:tcPr>
          <w:p w14:paraId="59971BDB" w14:textId="29F0A763" w:rsidR="00C11340" w:rsidRDefault="00C11340" w:rsidP="00C11340">
            <w:pPr>
              <w:pStyle w:val="TableParagraph"/>
              <w:spacing w:line="261" w:lineRule="auto"/>
              <w:ind w:left="133" w:right="336"/>
            </w:pPr>
            <w:r>
              <w:t>PG Diploma level qualification or equivalent in Education expected</w:t>
            </w:r>
          </w:p>
          <w:p w14:paraId="313110A8" w14:textId="07C8C7C7" w:rsidR="00C11340" w:rsidRDefault="6B46F6AE" w:rsidP="00C11340">
            <w:pPr>
              <w:pStyle w:val="TableParagraph"/>
              <w:spacing w:line="261" w:lineRule="auto"/>
              <w:ind w:left="133" w:right="336"/>
            </w:pPr>
            <w:r>
              <w:t>AND</w:t>
            </w:r>
            <w:r w:rsidR="00C11340">
              <w:t xml:space="preserve"> </w:t>
            </w:r>
          </w:p>
          <w:p w14:paraId="3EE14BA6" w14:textId="308BCBF0" w:rsidR="00C11340" w:rsidRDefault="00C11340" w:rsidP="00C11340">
            <w:pPr>
              <w:pStyle w:val="TableParagraph"/>
              <w:spacing w:line="261" w:lineRule="auto"/>
              <w:ind w:left="133" w:right="336"/>
            </w:pPr>
            <w:r>
              <w:t>Senior Fellowship (SFHEA) or similar teaching qualification required</w:t>
            </w:r>
          </w:p>
        </w:tc>
      </w:tr>
    </w:tbl>
    <w:p w14:paraId="2FBA9FEE" w14:textId="77777777" w:rsidR="0058463B" w:rsidRPr="00222FB7" w:rsidRDefault="0058463B" w:rsidP="00222FB7">
      <w:pPr>
        <w:pStyle w:val="BodyText"/>
        <w:spacing w:before="3"/>
        <w:rPr>
          <w:rFonts w:asciiTheme="minorHAnsi" w:hAnsiTheme="minorHAnsi" w:cstheme="minorHAnsi"/>
          <w:b w:val="0"/>
        </w:rPr>
      </w:pPr>
    </w:p>
    <w:sectPr w:rsidR="0058463B" w:rsidRPr="00222FB7" w:rsidSect="00C11717">
      <w:headerReference w:type="default" r:id="rId11"/>
      <w:pgSz w:w="16838" w:h="11906" w:orient="landscape"/>
      <w:pgMar w:top="851"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7203" w14:textId="77777777" w:rsidR="00E4313B" w:rsidRDefault="00E4313B" w:rsidP="0058463B">
      <w:r>
        <w:separator/>
      </w:r>
    </w:p>
  </w:endnote>
  <w:endnote w:type="continuationSeparator" w:id="0">
    <w:p w14:paraId="65A9885F" w14:textId="77777777" w:rsidR="00E4313B" w:rsidRDefault="00E4313B" w:rsidP="0058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68C6" w14:textId="77777777" w:rsidR="00E4313B" w:rsidRDefault="00E4313B" w:rsidP="0058463B">
      <w:r>
        <w:separator/>
      </w:r>
    </w:p>
  </w:footnote>
  <w:footnote w:type="continuationSeparator" w:id="0">
    <w:p w14:paraId="55EEE7B4" w14:textId="77777777" w:rsidR="00E4313B" w:rsidRDefault="00E4313B" w:rsidP="00584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C43F" w14:textId="66D7D54D" w:rsidR="00C11717" w:rsidRDefault="0063546F" w:rsidP="00C11717">
    <w:pPr>
      <w:pStyle w:val="BodyText"/>
      <w:spacing w:line="245" w:lineRule="exact"/>
      <w:ind w:left="284"/>
    </w:pPr>
    <w:r>
      <w:rPr>
        <w:noProof/>
        <w14:ligatures w14:val="standardContextual"/>
      </w:rPr>
      <w:drawing>
        <wp:anchor distT="0" distB="0" distL="114300" distR="114300" simplePos="0" relativeHeight="251658240" behindDoc="0" locked="0" layoutInCell="1" allowOverlap="1" wp14:anchorId="0FF30B2E" wp14:editId="376230F3">
          <wp:simplePos x="0" y="0"/>
          <wp:positionH relativeFrom="column">
            <wp:posOffset>7467204</wp:posOffset>
          </wp:positionH>
          <wp:positionV relativeFrom="paragraph">
            <wp:posOffset>-110732</wp:posOffset>
          </wp:positionV>
          <wp:extent cx="1892227" cy="207692"/>
          <wp:effectExtent l="0" t="0" r="0" b="1905"/>
          <wp:wrapNone/>
          <wp:docPr id="600254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54839"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2227" cy="207692"/>
                  </a:xfrm>
                  <a:prstGeom prst="rect">
                    <a:avLst/>
                  </a:prstGeom>
                </pic:spPr>
              </pic:pic>
            </a:graphicData>
          </a:graphic>
          <wp14:sizeRelH relativeFrom="margin">
            <wp14:pctWidth>0</wp14:pctWidth>
          </wp14:sizeRelH>
          <wp14:sizeRelV relativeFrom="margin">
            <wp14:pctHeight>0</wp14:pctHeight>
          </wp14:sizeRelV>
        </wp:anchor>
      </w:drawing>
    </w:r>
    <w:r w:rsidR="00C11717">
      <w:t>Senior Teaching Fellow / Principal Teaching Fellow – Role Profiles</w:t>
    </w:r>
  </w:p>
  <w:p w14:paraId="115B5865" w14:textId="5AB844F7" w:rsidR="00C11717" w:rsidRDefault="00C11717">
    <w:pPr>
      <w:pStyle w:val="Header"/>
    </w:pPr>
  </w:p>
  <w:p w14:paraId="0D870712" w14:textId="3733A248" w:rsidR="0058463B" w:rsidRDefault="0058463B">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FB9"/>
    <w:multiLevelType w:val="hybridMultilevel"/>
    <w:tmpl w:val="1258259C"/>
    <w:lvl w:ilvl="0" w:tplc="59A21708">
      <w:numFmt w:val="bullet"/>
      <w:lvlText w:val=""/>
      <w:lvlJc w:val="left"/>
      <w:pPr>
        <w:ind w:left="492" w:hanging="358"/>
      </w:pPr>
      <w:rPr>
        <w:rFonts w:ascii="Symbol" w:eastAsia="Symbol" w:hAnsi="Symbol" w:cs="Symbol" w:hint="default"/>
        <w:w w:val="99"/>
        <w:sz w:val="22"/>
        <w:szCs w:val="22"/>
        <w:lang w:val="en-GB" w:eastAsia="en-GB" w:bidi="en-GB"/>
      </w:rPr>
    </w:lvl>
    <w:lvl w:ilvl="1" w:tplc="F07EB9E8">
      <w:numFmt w:val="bullet"/>
      <w:lvlText w:val="•"/>
      <w:lvlJc w:val="left"/>
      <w:pPr>
        <w:ind w:left="1093" w:hanging="358"/>
      </w:pPr>
      <w:rPr>
        <w:rFonts w:hint="default"/>
        <w:lang w:val="en-GB" w:eastAsia="en-GB" w:bidi="en-GB"/>
      </w:rPr>
    </w:lvl>
    <w:lvl w:ilvl="2" w:tplc="A0F0B174">
      <w:numFmt w:val="bullet"/>
      <w:lvlText w:val="•"/>
      <w:lvlJc w:val="left"/>
      <w:pPr>
        <w:ind w:left="1687" w:hanging="358"/>
      </w:pPr>
      <w:rPr>
        <w:rFonts w:hint="default"/>
        <w:lang w:val="en-GB" w:eastAsia="en-GB" w:bidi="en-GB"/>
      </w:rPr>
    </w:lvl>
    <w:lvl w:ilvl="3" w:tplc="3350E02E">
      <w:numFmt w:val="bullet"/>
      <w:lvlText w:val="•"/>
      <w:lvlJc w:val="left"/>
      <w:pPr>
        <w:ind w:left="2281" w:hanging="358"/>
      </w:pPr>
      <w:rPr>
        <w:rFonts w:hint="default"/>
        <w:lang w:val="en-GB" w:eastAsia="en-GB" w:bidi="en-GB"/>
      </w:rPr>
    </w:lvl>
    <w:lvl w:ilvl="4" w:tplc="F858EEE4">
      <w:numFmt w:val="bullet"/>
      <w:lvlText w:val="•"/>
      <w:lvlJc w:val="left"/>
      <w:pPr>
        <w:ind w:left="2875" w:hanging="358"/>
      </w:pPr>
      <w:rPr>
        <w:rFonts w:hint="default"/>
        <w:lang w:val="en-GB" w:eastAsia="en-GB" w:bidi="en-GB"/>
      </w:rPr>
    </w:lvl>
    <w:lvl w:ilvl="5" w:tplc="3950FF4C">
      <w:numFmt w:val="bullet"/>
      <w:lvlText w:val="•"/>
      <w:lvlJc w:val="left"/>
      <w:pPr>
        <w:ind w:left="3469" w:hanging="358"/>
      </w:pPr>
      <w:rPr>
        <w:rFonts w:hint="default"/>
        <w:lang w:val="en-GB" w:eastAsia="en-GB" w:bidi="en-GB"/>
      </w:rPr>
    </w:lvl>
    <w:lvl w:ilvl="6" w:tplc="93AEFBD0">
      <w:numFmt w:val="bullet"/>
      <w:lvlText w:val="•"/>
      <w:lvlJc w:val="left"/>
      <w:pPr>
        <w:ind w:left="4062" w:hanging="358"/>
      </w:pPr>
      <w:rPr>
        <w:rFonts w:hint="default"/>
        <w:lang w:val="en-GB" w:eastAsia="en-GB" w:bidi="en-GB"/>
      </w:rPr>
    </w:lvl>
    <w:lvl w:ilvl="7" w:tplc="17B0421A">
      <w:numFmt w:val="bullet"/>
      <w:lvlText w:val="•"/>
      <w:lvlJc w:val="left"/>
      <w:pPr>
        <w:ind w:left="4656" w:hanging="358"/>
      </w:pPr>
      <w:rPr>
        <w:rFonts w:hint="default"/>
        <w:lang w:val="en-GB" w:eastAsia="en-GB" w:bidi="en-GB"/>
      </w:rPr>
    </w:lvl>
    <w:lvl w:ilvl="8" w:tplc="3ECED508">
      <w:numFmt w:val="bullet"/>
      <w:lvlText w:val="•"/>
      <w:lvlJc w:val="left"/>
      <w:pPr>
        <w:ind w:left="5250" w:hanging="358"/>
      </w:pPr>
      <w:rPr>
        <w:rFonts w:hint="default"/>
        <w:lang w:val="en-GB" w:eastAsia="en-GB" w:bidi="en-GB"/>
      </w:rPr>
    </w:lvl>
  </w:abstractNum>
  <w:abstractNum w:abstractNumId="1" w15:restartNumberingAfterBreak="0">
    <w:nsid w:val="192C5C54"/>
    <w:multiLevelType w:val="hybridMultilevel"/>
    <w:tmpl w:val="97168CEE"/>
    <w:lvl w:ilvl="0" w:tplc="21F87EBE">
      <w:numFmt w:val="bullet"/>
      <w:lvlText w:val=""/>
      <w:lvlJc w:val="left"/>
      <w:pPr>
        <w:ind w:left="490" w:hanging="360"/>
      </w:pPr>
      <w:rPr>
        <w:rFonts w:ascii="Symbol" w:eastAsia="Symbol" w:hAnsi="Symbol" w:cs="Symbol" w:hint="default"/>
        <w:w w:val="99"/>
        <w:sz w:val="22"/>
        <w:szCs w:val="22"/>
        <w:lang w:val="en-GB" w:eastAsia="en-GB" w:bidi="en-GB"/>
      </w:rPr>
    </w:lvl>
    <w:lvl w:ilvl="1" w:tplc="BD2612D6">
      <w:numFmt w:val="bullet"/>
      <w:lvlText w:val="•"/>
      <w:lvlJc w:val="left"/>
      <w:pPr>
        <w:ind w:left="1093" w:hanging="360"/>
      </w:pPr>
      <w:rPr>
        <w:rFonts w:hint="default"/>
        <w:lang w:val="en-GB" w:eastAsia="en-GB" w:bidi="en-GB"/>
      </w:rPr>
    </w:lvl>
    <w:lvl w:ilvl="2" w:tplc="1DBAD868">
      <w:numFmt w:val="bullet"/>
      <w:lvlText w:val="•"/>
      <w:lvlJc w:val="left"/>
      <w:pPr>
        <w:ind w:left="1687" w:hanging="360"/>
      </w:pPr>
      <w:rPr>
        <w:rFonts w:hint="default"/>
        <w:lang w:val="en-GB" w:eastAsia="en-GB" w:bidi="en-GB"/>
      </w:rPr>
    </w:lvl>
    <w:lvl w:ilvl="3" w:tplc="C7F21E22">
      <w:numFmt w:val="bullet"/>
      <w:lvlText w:val="•"/>
      <w:lvlJc w:val="left"/>
      <w:pPr>
        <w:ind w:left="2281" w:hanging="360"/>
      </w:pPr>
      <w:rPr>
        <w:rFonts w:hint="default"/>
        <w:lang w:val="en-GB" w:eastAsia="en-GB" w:bidi="en-GB"/>
      </w:rPr>
    </w:lvl>
    <w:lvl w:ilvl="4" w:tplc="3EB2C51C">
      <w:numFmt w:val="bullet"/>
      <w:lvlText w:val="•"/>
      <w:lvlJc w:val="left"/>
      <w:pPr>
        <w:ind w:left="2875" w:hanging="360"/>
      </w:pPr>
      <w:rPr>
        <w:rFonts w:hint="default"/>
        <w:lang w:val="en-GB" w:eastAsia="en-GB" w:bidi="en-GB"/>
      </w:rPr>
    </w:lvl>
    <w:lvl w:ilvl="5" w:tplc="765E533A">
      <w:numFmt w:val="bullet"/>
      <w:lvlText w:val="•"/>
      <w:lvlJc w:val="left"/>
      <w:pPr>
        <w:ind w:left="3469" w:hanging="360"/>
      </w:pPr>
      <w:rPr>
        <w:rFonts w:hint="default"/>
        <w:lang w:val="en-GB" w:eastAsia="en-GB" w:bidi="en-GB"/>
      </w:rPr>
    </w:lvl>
    <w:lvl w:ilvl="6" w:tplc="42447B4E">
      <w:numFmt w:val="bullet"/>
      <w:lvlText w:val="•"/>
      <w:lvlJc w:val="left"/>
      <w:pPr>
        <w:ind w:left="4062" w:hanging="360"/>
      </w:pPr>
      <w:rPr>
        <w:rFonts w:hint="default"/>
        <w:lang w:val="en-GB" w:eastAsia="en-GB" w:bidi="en-GB"/>
      </w:rPr>
    </w:lvl>
    <w:lvl w:ilvl="7" w:tplc="050E222C">
      <w:numFmt w:val="bullet"/>
      <w:lvlText w:val="•"/>
      <w:lvlJc w:val="left"/>
      <w:pPr>
        <w:ind w:left="4656" w:hanging="360"/>
      </w:pPr>
      <w:rPr>
        <w:rFonts w:hint="default"/>
        <w:lang w:val="en-GB" w:eastAsia="en-GB" w:bidi="en-GB"/>
      </w:rPr>
    </w:lvl>
    <w:lvl w:ilvl="8" w:tplc="46A0D986">
      <w:numFmt w:val="bullet"/>
      <w:lvlText w:val="•"/>
      <w:lvlJc w:val="left"/>
      <w:pPr>
        <w:ind w:left="5250" w:hanging="360"/>
      </w:pPr>
      <w:rPr>
        <w:rFonts w:hint="default"/>
        <w:lang w:val="en-GB" w:eastAsia="en-GB" w:bidi="en-GB"/>
      </w:rPr>
    </w:lvl>
  </w:abstractNum>
  <w:abstractNum w:abstractNumId="2" w15:restartNumberingAfterBreak="0">
    <w:nsid w:val="1E76512E"/>
    <w:multiLevelType w:val="hybridMultilevel"/>
    <w:tmpl w:val="1EEED602"/>
    <w:lvl w:ilvl="0" w:tplc="98E4EC78">
      <w:numFmt w:val="bullet"/>
      <w:lvlText w:val=""/>
      <w:lvlJc w:val="left"/>
      <w:pPr>
        <w:ind w:left="487" w:hanging="363"/>
      </w:pPr>
      <w:rPr>
        <w:rFonts w:ascii="Symbol" w:eastAsia="Symbol" w:hAnsi="Symbol" w:cs="Symbol" w:hint="default"/>
        <w:w w:val="99"/>
        <w:sz w:val="22"/>
        <w:szCs w:val="22"/>
        <w:lang w:val="en-GB" w:eastAsia="en-GB" w:bidi="en-GB"/>
      </w:rPr>
    </w:lvl>
    <w:lvl w:ilvl="1" w:tplc="6F4AF6A4">
      <w:numFmt w:val="bullet"/>
      <w:lvlText w:val="•"/>
      <w:lvlJc w:val="left"/>
      <w:pPr>
        <w:ind w:left="1075" w:hanging="363"/>
      </w:pPr>
      <w:rPr>
        <w:rFonts w:hint="default"/>
        <w:lang w:val="en-GB" w:eastAsia="en-GB" w:bidi="en-GB"/>
      </w:rPr>
    </w:lvl>
    <w:lvl w:ilvl="2" w:tplc="72C20D66">
      <w:numFmt w:val="bullet"/>
      <w:lvlText w:val="•"/>
      <w:lvlJc w:val="left"/>
      <w:pPr>
        <w:ind w:left="1671" w:hanging="363"/>
      </w:pPr>
      <w:rPr>
        <w:rFonts w:hint="default"/>
        <w:lang w:val="en-GB" w:eastAsia="en-GB" w:bidi="en-GB"/>
      </w:rPr>
    </w:lvl>
    <w:lvl w:ilvl="3" w:tplc="555634B6">
      <w:numFmt w:val="bullet"/>
      <w:lvlText w:val="•"/>
      <w:lvlJc w:val="left"/>
      <w:pPr>
        <w:ind w:left="2266" w:hanging="363"/>
      </w:pPr>
      <w:rPr>
        <w:rFonts w:hint="default"/>
        <w:lang w:val="en-GB" w:eastAsia="en-GB" w:bidi="en-GB"/>
      </w:rPr>
    </w:lvl>
    <w:lvl w:ilvl="4" w:tplc="A010302E">
      <w:numFmt w:val="bullet"/>
      <w:lvlText w:val="•"/>
      <w:lvlJc w:val="left"/>
      <w:pPr>
        <w:ind w:left="2862" w:hanging="363"/>
      </w:pPr>
      <w:rPr>
        <w:rFonts w:hint="default"/>
        <w:lang w:val="en-GB" w:eastAsia="en-GB" w:bidi="en-GB"/>
      </w:rPr>
    </w:lvl>
    <w:lvl w:ilvl="5" w:tplc="DA7C74B0">
      <w:numFmt w:val="bullet"/>
      <w:lvlText w:val="•"/>
      <w:lvlJc w:val="left"/>
      <w:pPr>
        <w:ind w:left="3458" w:hanging="363"/>
      </w:pPr>
      <w:rPr>
        <w:rFonts w:hint="default"/>
        <w:lang w:val="en-GB" w:eastAsia="en-GB" w:bidi="en-GB"/>
      </w:rPr>
    </w:lvl>
    <w:lvl w:ilvl="6" w:tplc="FB209F8C">
      <w:numFmt w:val="bullet"/>
      <w:lvlText w:val="•"/>
      <w:lvlJc w:val="left"/>
      <w:pPr>
        <w:ind w:left="4053" w:hanging="363"/>
      </w:pPr>
      <w:rPr>
        <w:rFonts w:hint="default"/>
        <w:lang w:val="en-GB" w:eastAsia="en-GB" w:bidi="en-GB"/>
      </w:rPr>
    </w:lvl>
    <w:lvl w:ilvl="7" w:tplc="4892594C">
      <w:numFmt w:val="bullet"/>
      <w:lvlText w:val="•"/>
      <w:lvlJc w:val="left"/>
      <w:pPr>
        <w:ind w:left="4649" w:hanging="363"/>
      </w:pPr>
      <w:rPr>
        <w:rFonts w:hint="default"/>
        <w:lang w:val="en-GB" w:eastAsia="en-GB" w:bidi="en-GB"/>
      </w:rPr>
    </w:lvl>
    <w:lvl w:ilvl="8" w:tplc="14B26060">
      <w:numFmt w:val="bullet"/>
      <w:lvlText w:val="•"/>
      <w:lvlJc w:val="left"/>
      <w:pPr>
        <w:ind w:left="5244" w:hanging="363"/>
      </w:pPr>
      <w:rPr>
        <w:rFonts w:hint="default"/>
        <w:lang w:val="en-GB" w:eastAsia="en-GB" w:bidi="en-GB"/>
      </w:rPr>
    </w:lvl>
  </w:abstractNum>
  <w:abstractNum w:abstractNumId="3" w15:restartNumberingAfterBreak="0">
    <w:nsid w:val="25363C8D"/>
    <w:multiLevelType w:val="hybridMultilevel"/>
    <w:tmpl w:val="5A806218"/>
    <w:lvl w:ilvl="0" w:tplc="86F60F7E">
      <w:numFmt w:val="bullet"/>
      <w:lvlText w:val=""/>
      <w:lvlJc w:val="left"/>
      <w:pPr>
        <w:ind w:left="492" w:hanging="361"/>
      </w:pPr>
      <w:rPr>
        <w:rFonts w:ascii="Symbol" w:eastAsia="Symbol" w:hAnsi="Symbol" w:cs="Symbol" w:hint="default"/>
        <w:w w:val="100"/>
        <w:sz w:val="22"/>
        <w:szCs w:val="22"/>
        <w:lang w:val="en-GB" w:eastAsia="en-GB" w:bidi="en-GB"/>
      </w:rPr>
    </w:lvl>
    <w:lvl w:ilvl="1" w:tplc="AEC09E72">
      <w:numFmt w:val="bullet"/>
      <w:lvlText w:val="•"/>
      <w:lvlJc w:val="left"/>
      <w:pPr>
        <w:ind w:left="1093" w:hanging="361"/>
      </w:pPr>
      <w:rPr>
        <w:rFonts w:hint="default"/>
        <w:lang w:val="en-GB" w:eastAsia="en-GB" w:bidi="en-GB"/>
      </w:rPr>
    </w:lvl>
    <w:lvl w:ilvl="2" w:tplc="E356DF86">
      <w:numFmt w:val="bullet"/>
      <w:lvlText w:val="•"/>
      <w:lvlJc w:val="left"/>
      <w:pPr>
        <w:ind w:left="1687" w:hanging="361"/>
      </w:pPr>
      <w:rPr>
        <w:rFonts w:hint="default"/>
        <w:lang w:val="en-GB" w:eastAsia="en-GB" w:bidi="en-GB"/>
      </w:rPr>
    </w:lvl>
    <w:lvl w:ilvl="3" w:tplc="A6BAC57A">
      <w:numFmt w:val="bullet"/>
      <w:lvlText w:val="•"/>
      <w:lvlJc w:val="left"/>
      <w:pPr>
        <w:ind w:left="2281" w:hanging="361"/>
      </w:pPr>
      <w:rPr>
        <w:rFonts w:hint="default"/>
        <w:lang w:val="en-GB" w:eastAsia="en-GB" w:bidi="en-GB"/>
      </w:rPr>
    </w:lvl>
    <w:lvl w:ilvl="4" w:tplc="7F22DA20">
      <w:numFmt w:val="bullet"/>
      <w:lvlText w:val="•"/>
      <w:lvlJc w:val="left"/>
      <w:pPr>
        <w:ind w:left="2875" w:hanging="361"/>
      </w:pPr>
      <w:rPr>
        <w:rFonts w:hint="default"/>
        <w:lang w:val="en-GB" w:eastAsia="en-GB" w:bidi="en-GB"/>
      </w:rPr>
    </w:lvl>
    <w:lvl w:ilvl="5" w:tplc="76F0555E">
      <w:numFmt w:val="bullet"/>
      <w:lvlText w:val="•"/>
      <w:lvlJc w:val="left"/>
      <w:pPr>
        <w:ind w:left="3469" w:hanging="361"/>
      </w:pPr>
      <w:rPr>
        <w:rFonts w:hint="default"/>
        <w:lang w:val="en-GB" w:eastAsia="en-GB" w:bidi="en-GB"/>
      </w:rPr>
    </w:lvl>
    <w:lvl w:ilvl="6" w:tplc="5A062BB8">
      <w:numFmt w:val="bullet"/>
      <w:lvlText w:val="•"/>
      <w:lvlJc w:val="left"/>
      <w:pPr>
        <w:ind w:left="4062" w:hanging="361"/>
      </w:pPr>
      <w:rPr>
        <w:rFonts w:hint="default"/>
        <w:lang w:val="en-GB" w:eastAsia="en-GB" w:bidi="en-GB"/>
      </w:rPr>
    </w:lvl>
    <w:lvl w:ilvl="7" w:tplc="B156CAAC">
      <w:numFmt w:val="bullet"/>
      <w:lvlText w:val="•"/>
      <w:lvlJc w:val="left"/>
      <w:pPr>
        <w:ind w:left="4656" w:hanging="361"/>
      </w:pPr>
      <w:rPr>
        <w:rFonts w:hint="default"/>
        <w:lang w:val="en-GB" w:eastAsia="en-GB" w:bidi="en-GB"/>
      </w:rPr>
    </w:lvl>
    <w:lvl w:ilvl="8" w:tplc="BD028C40">
      <w:numFmt w:val="bullet"/>
      <w:lvlText w:val="•"/>
      <w:lvlJc w:val="left"/>
      <w:pPr>
        <w:ind w:left="5250" w:hanging="361"/>
      </w:pPr>
      <w:rPr>
        <w:rFonts w:hint="default"/>
        <w:lang w:val="en-GB" w:eastAsia="en-GB" w:bidi="en-GB"/>
      </w:rPr>
    </w:lvl>
  </w:abstractNum>
  <w:abstractNum w:abstractNumId="4" w15:restartNumberingAfterBreak="0">
    <w:nsid w:val="3AC56907"/>
    <w:multiLevelType w:val="hybridMultilevel"/>
    <w:tmpl w:val="E1CAA8EE"/>
    <w:lvl w:ilvl="0" w:tplc="54A47860">
      <w:numFmt w:val="bullet"/>
      <w:lvlText w:val=""/>
      <w:lvlJc w:val="left"/>
      <w:pPr>
        <w:ind w:left="487" w:hanging="360"/>
      </w:pPr>
      <w:rPr>
        <w:rFonts w:ascii="Symbol" w:eastAsia="Symbol" w:hAnsi="Symbol" w:cs="Symbol" w:hint="default"/>
        <w:w w:val="99"/>
        <w:sz w:val="22"/>
        <w:szCs w:val="22"/>
        <w:lang w:val="en-GB" w:eastAsia="en-GB" w:bidi="en-GB"/>
      </w:rPr>
    </w:lvl>
    <w:lvl w:ilvl="1" w:tplc="6938051E">
      <w:numFmt w:val="bullet"/>
      <w:lvlText w:val="•"/>
      <w:lvlJc w:val="left"/>
      <w:pPr>
        <w:ind w:left="1075" w:hanging="360"/>
      </w:pPr>
      <w:rPr>
        <w:rFonts w:hint="default"/>
        <w:lang w:val="en-GB" w:eastAsia="en-GB" w:bidi="en-GB"/>
      </w:rPr>
    </w:lvl>
    <w:lvl w:ilvl="2" w:tplc="C79A0EB4">
      <w:numFmt w:val="bullet"/>
      <w:lvlText w:val="•"/>
      <w:lvlJc w:val="left"/>
      <w:pPr>
        <w:ind w:left="1671" w:hanging="360"/>
      </w:pPr>
      <w:rPr>
        <w:rFonts w:hint="default"/>
        <w:lang w:val="en-GB" w:eastAsia="en-GB" w:bidi="en-GB"/>
      </w:rPr>
    </w:lvl>
    <w:lvl w:ilvl="3" w:tplc="7AB02F88">
      <w:numFmt w:val="bullet"/>
      <w:lvlText w:val="•"/>
      <w:lvlJc w:val="left"/>
      <w:pPr>
        <w:ind w:left="2267" w:hanging="360"/>
      </w:pPr>
      <w:rPr>
        <w:rFonts w:hint="default"/>
        <w:lang w:val="en-GB" w:eastAsia="en-GB" w:bidi="en-GB"/>
      </w:rPr>
    </w:lvl>
    <w:lvl w:ilvl="4" w:tplc="FD289DC6">
      <w:numFmt w:val="bullet"/>
      <w:lvlText w:val="•"/>
      <w:lvlJc w:val="left"/>
      <w:pPr>
        <w:ind w:left="2863" w:hanging="360"/>
      </w:pPr>
      <w:rPr>
        <w:rFonts w:hint="default"/>
        <w:lang w:val="en-GB" w:eastAsia="en-GB" w:bidi="en-GB"/>
      </w:rPr>
    </w:lvl>
    <w:lvl w:ilvl="5" w:tplc="6200EFAE">
      <w:numFmt w:val="bullet"/>
      <w:lvlText w:val="•"/>
      <w:lvlJc w:val="left"/>
      <w:pPr>
        <w:ind w:left="3459" w:hanging="360"/>
      </w:pPr>
      <w:rPr>
        <w:rFonts w:hint="default"/>
        <w:lang w:val="en-GB" w:eastAsia="en-GB" w:bidi="en-GB"/>
      </w:rPr>
    </w:lvl>
    <w:lvl w:ilvl="6" w:tplc="780ABD10">
      <w:numFmt w:val="bullet"/>
      <w:lvlText w:val="•"/>
      <w:lvlJc w:val="left"/>
      <w:pPr>
        <w:ind w:left="4054" w:hanging="360"/>
      </w:pPr>
      <w:rPr>
        <w:rFonts w:hint="default"/>
        <w:lang w:val="en-GB" w:eastAsia="en-GB" w:bidi="en-GB"/>
      </w:rPr>
    </w:lvl>
    <w:lvl w:ilvl="7" w:tplc="C72692CA">
      <w:numFmt w:val="bullet"/>
      <w:lvlText w:val="•"/>
      <w:lvlJc w:val="left"/>
      <w:pPr>
        <w:ind w:left="4650" w:hanging="360"/>
      </w:pPr>
      <w:rPr>
        <w:rFonts w:hint="default"/>
        <w:lang w:val="en-GB" w:eastAsia="en-GB" w:bidi="en-GB"/>
      </w:rPr>
    </w:lvl>
    <w:lvl w:ilvl="8" w:tplc="BE2C1CBE">
      <w:numFmt w:val="bullet"/>
      <w:lvlText w:val="•"/>
      <w:lvlJc w:val="left"/>
      <w:pPr>
        <w:ind w:left="5246" w:hanging="360"/>
      </w:pPr>
      <w:rPr>
        <w:rFonts w:hint="default"/>
        <w:lang w:val="en-GB" w:eastAsia="en-GB" w:bidi="en-GB"/>
      </w:rPr>
    </w:lvl>
  </w:abstractNum>
  <w:abstractNum w:abstractNumId="5" w15:restartNumberingAfterBreak="0">
    <w:nsid w:val="51B84E19"/>
    <w:multiLevelType w:val="hybridMultilevel"/>
    <w:tmpl w:val="B52CF71E"/>
    <w:lvl w:ilvl="0" w:tplc="F8941072">
      <w:numFmt w:val="bullet"/>
      <w:lvlText w:val=""/>
      <w:lvlJc w:val="left"/>
      <w:pPr>
        <w:ind w:left="488" w:hanging="360"/>
      </w:pPr>
      <w:rPr>
        <w:rFonts w:ascii="Symbol" w:eastAsia="Symbol" w:hAnsi="Symbol" w:cs="Symbol" w:hint="default"/>
        <w:w w:val="99"/>
        <w:sz w:val="22"/>
        <w:szCs w:val="22"/>
        <w:lang w:val="en-GB" w:eastAsia="en-GB" w:bidi="en-GB"/>
      </w:rPr>
    </w:lvl>
    <w:lvl w:ilvl="1" w:tplc="5888C9EE">
      <w:numFmt w:val="bullet"/>
      <w:lvlText w:val="•"/>
      <w:lvlJc w:val="left"/>
      <w:pPr>
        <w:ind w:left="1075" w:hanging="360"/>
      </w:pPr>
      <w:rPr>
        <w:rFonts w:hint="default"/>
        <w:lang w:val="en-GB" w:eastAsia="en-GB" w:bidi="en-GB"/>
      </w:rPr>
    </w:lvl>
    <w:lvl w:ilvl="2" w:tplc="476200D2">
      <w:numFmt w:val="bullet"/>
      <w:lvlText w:val="•"/>
      <w:lvlJc w:val="left"/>
      <w:pPr>
        <w:ind w:left="1671" w:hanging="360"/>
      </w:pPr>
      <w:rPr>
        <w:rFonts w:hint="default"/>
        <w:lang w:val="en-GB" w:eastAsia="en-GB" w:bidi="en-GB"/>
      </w:rPr>
    </w:lvl>
    <w:lvl w:ilvl="3" w:tplc="CB04EF5A">
      <w:numFmt w:val="bullet"/>
      <w:lvlText w:val="•"/>
      <w:lvlJc w:val="left"/>
      <w:pPr>
        <w:ind w:left="2267" w:hanging="360"/>
      </w:pPr>
      <w:rPr>
        <w:rFonts w:hint="default"/>
        <w:lang w:val="en-GB" w:eastAsia="en-GB" w:bidi="en-GB"/>
      </w:rPr>
    </w:lvl>
    <w:lvl w:ilvl="4" w:tplc="16AC1D58">
      <w:numFmt w:val="bullet"/>
      <w:lvlText w:val="•"/>
      <w:lvlJc w:val="left"/>
      <w:pPr>
        <w:ind w:left="2863" w:hanging="360"/>
      </w:pPr>
      <w:rPr>
        <w:rFonts w:hint="default"/>
        <w:lang w:val="en-GB" w:eastAsia="en-GB" w:bidi="en-GB"/>
      </w:rPr>
    </w:lvl>
    <w:lvl w:ilvl="5" w:tplc="0044688E">
      <w:numFmt w:val="bullet"/>
      <w:lvlText w:val="•"/>
      <w:lvlJc w:val="left"/>
      <w:pPr>
        <w:ind w:left="3459" w:hanging="360"/>
      </w:pPr>
      <w:rPr>
        <w:rFonts w:hint="default"/>
        <w:lang w:val="en-GB" w:eastAsia="en-GB" w:bidi="en-GB"/>
      </w:rPr>
    </w:lvl>
    <w:lvl w:ilvl="6" w:tplc="94EA4164">
      <w:numFmt w:val="bullet"/>
      <w:lvlText w:val="•"/>
      <w:lvlJc w:val="left"/>
      <w:pPr>
        <w:ind w:left="4054" w:hanging="360"/>
      </w:pPr>
      <w:rPr>
        <w:rFonts w:hint="default"/>
        <w:lang w:val="en-GB" w:eastAsia="en-GB" w:bidi="en-GB"/>
      </w:rPr>
    </w:lvl>
    <w:lvl w:ilvl="7" w:tplc="2FAAE7DE">
      <w:numFmt w:val="bullet"/>
      <w:lvlText w:val="•"/>
      <w:lvlJc w:val="left"/>
      <w:pPr>
        <w:ind w:left="4650" w:hanging="360"/>
      </w:pPr>
      <w:rPr>
        <w:rFonts w:hint="default"/>
        <w:lang w:val="en-GB" w:eastAsia="en-GB" w:bidi="en-GB"/>
      </w:rPr>
    </w:lvl>
    <w:lvl w:ilvl="8" w:tplc="F348B1D4">
      <w:numFmt w:val="bullet"/>
      <w:lvlText w:val="•"/>
      <w:lvlJc w:val="left"/>
      <w:pPr>
        <w:ind w:left="5246" w:hanging="360"/>
      </w:pPr>
      <w:rPr>
        <w:rFonts w:hint="default"/>
        <w:lang w:val="en-GB" w:eastAsia="en-GB" w:bidi="en-GB"/>
      </w:rPr>
    </w:lvl>
  </w:abstractNum>
  <w:abstractNum w:abstractNumId="6" w15:restartNumberingAfterBreak="0">
    <w:nsid w:val="6A3C5081"/>
    <w:multiLevelType w:val="hybridMultilevel"/>
    <w:tmpl w:val="486E2D24"/>
    <w:lvl w:ilvl="0" w:tplc="1FDEE5B4">
      <w:numFmt w:val="bullet"/>
      <w:lvlText w:val=""/>
      <w:lvlJc w:val="left"/>
      <w:pPr>
        <w:ind w:left="487" w:hanging="360"/>
      </w:pPr>
      <w:rPr>
        <w:rFonts w:ascii="Symbol" w:eastAsia="Symbol" w:hAnsi="Symbol" w:cs="Symbol" w:hint="default"/>
        <w:w w:val="99"/>
        <w:sz w:val="22"/>
        <w:szCs w:val="22"/>
        <w:lang w:val="en-GB" w:eastAsia="en-GB" w:bidi="en-GB"/>
      </w:rPr>
    </w:lvl>
    <w:lvl w:ilvl="1" w:tplc="BC6898C4">
      <w:numFmt w:val="bullet"/>
      <w:lvlText w:val="•"/>
      <w:lvlJc w:val="left"/>
      <w:pPr>
        <w:ind w:left="1075" w:hanging="360"/>
      </w:pPr>
      <w:rPr>
        <w:rFonts w:hint="default"/>
        <w:lang w:val="en-GB" w:eastAsia="en-GB" w:bidi="en-GB"/>
      </w:rPr>
    </w:lvl>
    <w:lvl w:ilvl="2" w:tplc="3716C8EC">
      <w:numFmt w:val="bullet"/>
      <w:lvlText w:val="•"/>
      <w:lvlJc w:val="left"/>
      <w:pPr>
        <w:ind w:left="1671" w:hanging="360"/>
      </w:pPr>
      <w:rPr>
        <w:rFonts w:hint="default"/>
        <w:lang w:val="en-GB" w:eastAsia="en-GB" w:bidi="en-GB"/>
      </w:rPr>
    </w:lvl>
    <w:lvl w:ilvl="3" w:tplc="8CCC19AA">
      <w:numFmt w:val="bullet"/>
      <w:lvlText w:val="•"/>
      <w:lvlJc w:val="left"/>
      <w:pPr>
        <w:ind w:left="2266" w:hanging="360"/>
      </w:pPr>
      <w:rPr>
        <w:rFonts w:hint="default"/>
        <w:lang w:val="en-GB" w:eastAsia="en-GB" w:bidi="en-GB"/>
      </w:rPr>
    </w:lvl>
    <w:lvl w:ilvl="4" w:tplc="E02EE508">
      <w:numFmt w:val="bullet"/>
      <w:lvlText w:val="•"/>
      <w:lvlJc w:val="left"/>
      <w:pPr>
        <w:ind w:left="2862" w:hanging="360"/>
      </w:pPr>
      <w:rPr>
        <w:rFonts w:hint="default"/>
        <w:lang w:val="en-GB" w:eastAsia="en-GB" w:bidi="en-GB"/>
      </w:rPr>
    </w:lvl>
    <w:lvl w:ilvl="5" w:tplc="EA007F8C">
      <w:numFmt w:val="bullet"/>
      <w:lvlText w:val="•"/>
      <w:lvlJc w:val="left"/>
      <w:pPr>
        <w:ind w:left="3458" w:hanging="360"/>
      </w:pPr>
      <w:rPr>
        <w:rFonts w:hint="default"/>
        <w:lang w:val="en-GB" w:eastAsia="en-GB" w:bidi="en-GB"/>
      </w:rPr>
    </w:lvl>
    <w:lvl w:ilvl="6" w:tplc="908E08FA">
      <w:numFmt w:val="bullet"/>
      <w:lvlText w:val="•"/>
      <w:lvlJc w:val="left"/>
      <w:pPr>
        <w:ind w:left="4053" w:hanging="360"/>
      </w:pPr>
      <w:rPr>
        <w:rFonts w:hint="default"/>
        <w:lang w:val="en-GB" w:eastAsia="en-GB" w:bidi="en-GB"/>
      </w:rPr>
    </w:lvl>
    <w:lvl w:ilvl="7" w:tplc="CB5659A0">
      <w:numFmt w:val="bullet"/>
      <w:lvlText w:val="•"/>
      <w:lvlJc w:val="left"/>
      <w:pPr>
        <w:ind w:left="4649" w:hanging="360"/>
      </w:pPr>
      <w:rPr>
        <w:rFonts w:hint="default"/>
        <w:lang w:val="en-GB" w:eastAsia="en-GB" w:bidi="en-GB"/>
      </w:rPr>
    </w:lvl>
    <w:lvl w:ilvl="8" w:tplc="DD3AA24C">
      <w:numFmt w:val="bullet"/>
      <w:lvlText w:val="•"/>
      <w:lvlJc w:val="left"/>
      <w:pPr>
        <w:ind w:left="5244" w:hanging="360"/>
      </w:pPr>
      <w:rPr>
        <w:rFonts w:hint="default"/>
        <w:lang w:val="en-GB" w:eastAsia="en-GB" w:bidi="en-GB"/>
      </w:rPr>
    </w:lvl>
  </w:abstractNum>
  <w:abstractNum w:abstractNumId="7" w15:restartNumberingAfterBreak="0">
    <w:nsid w:val="7350153C"/>
    <w:multiLevelType w:val="hybridMultilevel"/>
    <w:tmpl w:val="98F0CDA2"/>
    <w:lvl w:ilvl="0" w:tplc="51B27878">
      <w:numFmt w:val="bullet"/>
      <w:lvlText w:val=""/>
      <w:lvlJc w:val="left"/>
      <w:pPr>
        <w:ind w:left="495" w:hanging="360"/>
      </w:pPr>
      <w:rPr>
        <w:rFonts w:ascii="Symbol" w:eastAsia="Symbol" w:hAnsi="Symbol" w:cs="Symbol" w:hint="default"/>
        <w:w w:val="99"/>
        <w:sz w:val="22"/>
        <w:szCs w:val="22"/>
        <w:lang w:val="en-GB" w:eastAsia="en-GB" w:bidi="en-GB"/>
      </w:rPr>
    </w:lvl>
    <w:lvl w:ilvl="1" w:tplc="09B01D38">
      <w:numFmt w:val="bullet"/>
      <w:lvlText w:val="•"/>
      <w:lvlJc w:val="left"/>
      <w:pPr>
        <w:ind w:left="1093" w:hanging="360"/>
      </w:pPr>
      <w:rPr>
        <w:rFonts w:hint="default"/>
        <w:lang w:val="en-GB" w:eastAsia="en-GB" w:bidi="en-GB"/>
      </w:rPr>
    </w:lvl>
    <w:lvl w:ilvl="2" w:tplc="5CB4FEB6">
      <w:numFmt w:val="bullet"/>
      <w:lvlText w:val="•"/>
      <w:lvlJc w:val="left"/>
      <w:pPr>
        <w:ind w:left="1687" w:hanging="360"/>
      </w:pPr>
      <w:rPr>
        <w:rFonts w:hint="default"/>
        <w:lang w:val="en-GB" w:eastAsia="en-GB" w:bidi="en-GB"/>
      </w:rPr>
    </w:lvl>
    <w:lvl w:ilvl="3" w:tplc="39FCCD92">
      <w:numFmt w:val="bullet"/>
      <w:lvlText w:val="•"/>
      <w:lvlJc w:val="left"/>
      <w:pPr>
        <w:ind w:left="2280" w:hanging="360"/>
      </w:pPr>
      <w:rPr>
        <w:rFonts w:hint="default"/>
        <w:lang w:val="en-GB" w:eastAsia="en-GB" w:bidi="en-GB"/>
      </w:rPr>
    </w:lvl>
    <w:lvl w:ilvl="4" w:tplc="E912F6F4">
      <w:numFmt w:val="bullet"/>
      <w:lvlText w:val="•"/>
      <w:lvlJc w:val="left"/>
      <w:pPr>
        <w:ind w:left="2874" w:hanging="360"/>
      </w:pPr>
      <w:rPr>
        <w:rFonts w:hint="default"/>
        <w:lang w:val="en-GB" w:eastAsia="en-GB" w:bidi="en-GB"/>
      </w:rPr>
    </w:lvl>
    <w:lvl w:ilvl="5" w:tplc="7A34B4B4">
      <w:numFmt w:val="bullet"/>
      <w:lvlText w:val="•"/>
      <w:lvlJc w:val="left"/>
      <w:pPr>
        <w:ind w:left="3468" w:hanging="360"/>
      </w:pPr>
      <w:rPr>
        <w:rFonts w:hint="default"/>
        <w:lang w:val="en-GB" w:eastAsia="en-GB" w:bidi="en-GB"/>
      </w:rPr>
    </w:lvl>
    <w:lvl w:ilvl="6" w:tplc="F38E3244">
      <w:numFmt w:val="bullet"/>
      <w:lvlText w:val="•"/>
      <w:lvlJc w:val="left"/>
      <w:pPr>
        <w:ind w:left="4061" w:hanging="360"/>
      </w:pPr>
      <w:rPr>
        <w:rFonts w:hint="default"/>
        <w:lang w:val="en-GB" w:eastAsia="en-GB" w:bidi="en-GB"/>
      </w:rPr>
    </w:lvl>
    <w:lvl w:ilvl="7" w:tplc="D87C8B48">
      <w:numFmt w:val="bullet"/>
      <w:lvlText w:val="•"/>
      <w:lvlJc w:val="left"/>
      <w:pPr>
        <w:ind w:left="4655" w:hanging="360"/>
      </w:pPr>
      <w:rPr>
        <w:rFonts w:hint="default"/>
        <w:lang w:val="en-GB" w:eastAsia="en-GB" w:bidi="en-GB"/>
      </w:rPr>
    </w:lvl>
    <w:lvl w:ilvl="8" w:tplc="DDDA89D0">
      <w:numFmt w:val="bullet"/>
      <w:lvlText w:val="•"/>
      <w:lvlJc w:val="left"/>
      <w:pPr>
        <w:ind w:left="5248" w:hanging="360"/>
      </w:pPr>
      <w:rPr>
        <w:rFonts w:hint="default"/>
        <w:lang w:val="en-GB" w:eastAsia="en-GB" w:bidi="en-GB"/>
      </w:rPr>
    </w:lvl>
  </w:abstractNum>
  <w:num w:numId="1" w16cid:durableId="1828276316">
    <w:abstractNumId w:val="5"/>
  </w:num>
  <w:num w:numId="2" w16cid:durableId="225069408">
    <w:abstractNumId w:val="6"/>
  </w:num>
  <w:num w:numId="3" w16cid:durableId="949629652">
    <w:abstractNumId w:val="4"/>
  </w:num>
  <w:num w:numId="4" w16cid:durableId="817578806">
    <w:abstractNumId w:val="3"/>
  </w:num>
  <w:num w:numId="5" w16cid:durableId="73285939">
    <w:abstractNumId w:val="1"/>
  </w:num>
  <w:num w:numId="6" w16cid:durableId="1292982434">
    <w:abstractNumId w:val="2"/>
  </w:num>
  <w:num w:numId="7" w16cid:durableId="494951397">
    <w:abstractNumId w:val="0"/>
  </w:num>
  <w:num w:numId="8" w16cid:durableId="1410467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3B"/>
    <w:rsid w:val="000B6ED8"/>
    <w:rsid w:val="00134B47"/>
    <w:rsid w:val="00222FB7"/>
    <w:rsid w:val="0023169D"/>
    <w:rsid w:val="00344FFC"/>
    <w:rsid w:val="00360147"/>
    <w:rsid w:val="003C2222"/>
    <w:rsid w:val="004437C5"/>
    <w:rsid w:val="0058463B"/>
    <w:rsid w:val="0063546F"/>
    <w:rsid w:val="006573D4"/>
    <w:rsid w:val="00670F25"/>
    <w:rsid w:val="00680912"/>
    <w:rsid w:val="0068493B"/>
    <w:rsid w:val="007B2949"/>
    <w:rsid w:val="007C08F1"/>
    <w:rsid w:val="008875A1"/>
    <w:rsid w:val="00A34FE1"/>
    <w:rsid w:val="00B1768A"/>
    <w:rsid w:val="00B307D5"/>
    <w:rsid w:val="00B86EF9"/>
    <w:rsid w:val="00BA0B18"/>
    <w:rsid w:val="00BF1F93"/>
    <w:rsid w:val="00C11340"/>
    <w:rsid w:val="00C11717"/>
    <w:rsid w:val="00C54A31"/>
    <w:rsid w:val="00C964CD"/>
    <w:rsid w:val="00CB722B"/>
    <w:rsid w:val="00CC0052"/>
    <w:rsid w:val="00E4313B"/>
    <w:rsid w:val="00E624AE"/>
    <w:rsid w:val="00EA28F4"/>
    <w:rsid w:val="00F61809"/>
    <w:rsid w:val="00F61C15"/>
    <w:rsid w:val="00F63361"/>
    <w:rsid w:val="00FA127B"/>
    <w:rsid w:val="17164F2D"/>
    <w:rsid w:val="6B46F6AE"/>
    <w:rsid w:val="79CD5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0B8B6"/>
  <w15:chartTrackingRefBased/>
  <w15:docId w15:val="{BF4E251F-C443-47EB-8754-5796D37B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3B"/>
    <w:pPr>
      <w:widowControl w:val="0"/>
      <w:autoSpaceDE w:val="0"/>
      <w:autoSpaceDN w:val="0"/>
      <w:spacing w:after="0" w:line="240" w:lineRule="auto"/>
    </w:pPr>
    <w:rPr>
      <w:rFonts w:ascii="Calibri" w:eastAsia="Calibri" w:hAnsi="Calibri" w:cs="Calibri"/>
      <w:kern w:val="0"/>
      <w:lang w:eastAsia="en-GB" w:bidi="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463B"/>
    <w:rPr>
      <w:b/>
      <w:bCs/>
    </w:rPr>
  </w:style>
  <w:style w:type="character" w:customStyle="1" w:styleId="BodyTextChar">
    <w:name w:val="Body Text Char"/>
    <w:basedOn w:val="DefaultParagraphFont"/>
    <w:link w:val="BodyText"/>
    <w:uiPriority w:val="1"/>
    <w:rsid w:val="0058463B"/>
    <w:rPr>
      <w:rFonts w:ascii="Calibri" w:eastAsia="Calibri" w:hAnsi="Calibri" w:cs="Calibri"/>
      <w:b/>
      <w:bCs/>
      <w:kern w:val="0"/>
      <w:lang w:eastAsia="en-GB" w:bidi="en-GB"/>
      <w14:ligatures w14:val="none"/>
    </w:rPr>
  </w:style>
  <w:style w:type="paragraph" w:customStyle="1" w:styleId="TableParagraph">
    <w:name w:val="Table Paragraph"/>
    <w:basedOn w:val="Normal"/>
    <w:uiPriority w:val="1"/>
    <w:qFormat/>
    <w:rsid w:val="0058463B"/>
  </w:style>
  <w:style w:type="paragraph" w:styleId="Header">
    <w:name w:val="header"/>
    <w:basedOn w:val="Normal"/>
    <w:link w:val="HeaderChar"/>
    <w:uiPriority w:val="99"/>
    <w:unhideWhenUsed/>
    <w:rsid w:val="0058463B"/>
    <w:pPr>
      <w:tabs>
        <w:tab w:val="center" w:pos="4513"/>
        <w:tab w:val="right" w:pos="9026"/>
      </w:tabs>
    </w:pPr>
  </w:style>
  <w:style w:type="character" w:customStyle="1" w:styleId="HeaderChar">
    <w:name w:val="Header Char"/>
    <w:basedOn w:val="DefaultParagraphFont"/>
    <w:link w:val="Header"/>
    <w:uiPriority w:val="99"/>
    <w:rsid w:val="0058463B"/>
    <w:rPr>
      <w:rFonts w:ascii="Calibri" w:eastAsia="Calibri" w:hAnsi="Calibri" w:cs="Calibri"/>
      <w:kern w:val="0"/>
      <w:lang w:eastAsia="en-GB" w:bidi="en-GB"/>
      <w14:ligatures w14:val="none"/>
    </w:rPr>
  </w:style>
  <w:style w:type="paragraph" w:styleId="Footer">
    <w:name w:val="footer"/>
    <w:basedOn w:val="Normal"/>
    <w:link w:val="FooterChar"/>
    <w:uiPriority w:val="99"/>
    <w:unhideWhenUsed/>
    <w:rsid w:val="0058463B"/>
    <w:pPr>
      <w:tabs>
        <w:tab w:val="center" w:pos="4513"/>
        <w:tab w:val="right" w:pos="9026"/>
      </w:tabs>
    </w:pPr>
  </w:style>
  <w:style w:type="character" w:customStyle="1" w:styleId="FooterChar">
    <w:name w:val="Footer Char"/>
    <w:basedOn w:val="DefaultParagraphFont"/>
    <w:link w:val="Footer"/>
    <w:uiPriority w:val="99"/>
    <w:rsid w:val="0058463B"/>
    <w:rPr>
      <w:rFonts w:ascii="Calibri" w:eastAsia="Calibri" w:hAnsi="Calibri" w:cs="Calibri"/>
      <w:kern w:val="0"/>
      <w:lang w:eastAsia="en-GB" w:bidi="en-GB"/>
      <w14:ligatures w14:val="none"/>
    </w:rPr>
  </w:style>
  <w:style w:type="paragraph" w:styleId="Revision">
    <w:name w:val="Revision"/>
    <w:hidden/>
    <w:uiPriority w:val="99"/>
    <w:semiHidden/>
    <w:rsid w:val="00B86EF9"/>
    <w:pPr>
      <w:spacing w:after="0" w:line="240" w:lineRule="auto"/>
    </w:pPr>
    <w:rPr>
      <w:rFonts w:ascii="Calibri" w:eastAsia="Calibri" w:hAnsi="Calibri" w:cs="Calibri"/>
      <w:kern w:val="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376684">
      <w:bodyDiv w:val="1"/>
      <w:marLeft w:val="0"/>
      <w:marRight w:val="0"/>
      <w:marTop w:val="0"/>
      <w:marBottom w:val="0"/>
      <w:divBdr>
        <w:top w:val="none" w:sz="0" w:space="0" w:color="auto"/>
        <w:left w:val="none" w:sz="0" w:space="0" w:color="auto"/>
        <w:bottom w:val="none" w:sz="0" w:space="0" w:color="auto"/>
        <w:right w:val="none" w:sz="0" w:space="0" w:color="auto"/>
      </w:divBdr>
    </w:div>
    <w:div w:id="147194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14E8EE06719343AADBA8282C34B4CA" ma:contentTypeVersion="6" ma:contentTypeDescription="Create a new document." ma:contentTypeScope="" ma:versionID="34e41860149eb89241bb9af7f3f174d2">
  <xsd:schema xmlns:xsd="http://www.w3.org/2001/XMLSchema" xmlns:xs="http://www.w3.org/2001/XMLSchema" xmlns:p="http://schemas.microsoft.com/office/2006/metadata/properties" xmlns:ns2="d4103b44-7574-4be5-9623-64a763e74f8e" xmlns:ns3="682edec5-0f21-4062-9ccb-f3ada4f0f8e1" targetNamespace="http://schemas.microsoft.com/office/2006/metadata/properties" ma:root="true" ma:fieldsID="b77def1e9cdc9fe9bd72e52efbf50c17" ns2:_="" ns3:_="">
    <xsd:import namespace="d4103b44-7574-4be5-9623-64a763e74f8e"/>
    <xsd:import namespace="682edec5-0f21-4062-9ccb-f3ada4f0f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03b44-7574-4be5-9623-64a763e74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edec5-0f21-4062-9ccb-f3ada4f0f8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FD3ED-CA8C-1E4E-A12F-B6BD5FFCEC80}">
  <ds:schemaRefs>
    <ds:schemaRef ds:uri="http://schemas.openxmlformats.org/officeDocument/2006/bibliography"/>
  </ds:schemaRefs>
</ds:datastoreItem>
</file>

<file path=customXml/itemProps2.xml><?xml version="1.0" encoding="utf-8"?>
<ds:datastoreItem xmlns:ds="http://schemas.openxmlformats.org/officeDocument/2006/customXml" ds:itemID="{D608F55E-9B2F-4AD3-BDD8-AF823DEC2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03b44-7574-4be5-9623-64a763e74f8e"/>
    <ds:schemaRef ds:uri="682edec5-0f21-4062-9ccb-f3ada4f0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A4A7E-8A7C-4F74-9306-DF31F9DD2A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22A363-A021-4D84-A78E-6E9E4972CE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Appendix 2 - Role Profiles Senior Teaching Fellow</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 Role Profiles Senior Teaching Fellow</dc:title>
  <dc:subject/>
  <dc:creator>Limbu, Jesika</dc:creator>
  <cp:keywords/>
  <dc:description/>
  <cp:lastModifiedBy>Mee, Melanie O</cp:lastModifiedBy>
  <cp:revision>15</cp:revision>
  <dcterms:created xsi:type="dcterms:W3CDTF">2023-11-28T14:22:00Z</dcterms:created>
  <dcterms:modified xsi:type="dcterms:W3CDTF">2025-09-19T16:24:00Z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0x0101006D14E8EE06719343AADBA8282C34B4CA</vt:lpwstr>
  </property>
</Properties>
</file>