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9026"/>
      </w:tblGrid>
      <w:tr w:rsidR="00EE65DB" w:rsidRPr="00623235" w14:paraId="716C10C1" w14:textId="77777777" w:rsidTr="34613224">
        <w:trPr>
          <w:trHeight w:val="2880"/>
          <w:jc w:val="center"/>
        </w:trPr>
        <w:tc>
          <w:tcPr>
            <w:tcW w:w="5000" w:type="pct"/>
          </w:tcPr>
          <w:p w14:paraId="1EBA701F" w14:textId="560D9CCA" w:rsidR="00EE65DB" w:rsidRPr="00623235" w:rsidRDefault="20DC1F4B" w:rsidP="00EE65DB">
            <w:pPr>
              <w:pStyle w:val="NoSpacing"/>
              <w:jc w:val="center"/>
            </w:pPr>
            <w:r>
              <w:rPr>
                <w:noProof/>
              </w:rPr>
              <w:drawing>
                <wp:inline distT="0" distB="0" distL="0" distR="0" wp14:anchorId="5CE93E37" wp14:editId="36AB64D5">
                  <wp:extent cx="2943226" cy="1323700"/>
                  <wp:effectExtent l="0" t="0" r="0" b="0"/>
                  <wp:docPr id="147440537" name="Picture 147440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943226" cy="1323700"/>
                          </a:xfrm>
                          <a:prstGeom prst="rect">
                            <a:avLst/>
                          </a:prstGeom>
                        </pic:spPr>
                      </pic:pic>
                    </a:graphicData>
                  </a:graphic>
                </wp:inline>
              </w:drawing>
            </w:r>
          </w:p>
        </w:tc>
      </w:tr>
      <w:tr w:rsidR="00EE65DB" w:rsidRPr="00623235" w14:paraId="738C34A4" w14:textId="77777777" w:rsidTr="34613224">
        <w:trPr>
          <w:trHeight w:val="1440"/>
          <w:jc w:val="center"/>
        </w:trPr>
        <w:tc>
          <w:tcPr>
            <w:tcW w:w="5000" w:type="pct"/>
            <w:vAlign w:val="center"/>
          </w:tcPr>
          <w:p w14:paraId="59CB9E7E" w14:textId="6038F023" w:rsidR="00EE65DB" w:rsidRPr="00623235" w:rsidRDefault="00C42D65">
            <w:pPr>
              <w:pStyle w:val="NoSpacing"/>
              <w:jc w:val="center"/>
              <w:rPr>
                <w:rFonts w:ascii="Verdana" w:hAnsi="Verdana"/>
                <w:sz w:val="40"/>
                <w:szCs w:val="40"/>
              </w:rPr>
            </w:pPr>
            <w:r w:rsidRPr="00623235">
              <w:rPr>
                <w:rFonts w:ascii="Verdana" w:hAnsi="Verdana"/>
                <w:b/>
                <w:sz w:val="40"/>
                <w:szCs w:val="40"/>
                <w:lang w:val="en-GB" w:eastAsia="ar-SA"/>
              </w:rPr>
              <w:t>Payment Security Management System</w:t>
            </w:r>
            <w:r w:rsidR="00782B2D">
              <w:rPr>
                <w:rFonts w:ascii="Verdana" w:hAnsi="Verdana"/>
                <w:b/>
                <w:sz w:val="40"/>
                <w:szCs w:val="40"/>
                <w:lang w:val="en-GB" w:eastAsia="ar-SA"/>
              </w:rPr>
              <w:t xml:space="preserve"> (PSMS)</w:t>
            </w:r>
          </w:p>
        </w:tc>
      </w:tr>
      <w:tr w:rsidR="00EE65DB" w:rsidRPr="00623235" w14:paraId="12ABEA60" w14:textId="77777777" w:rsidTr="34613224">
        <w:trPr>
          <w:trHeight w:val="720"/>
          <w:jc w:val="center"/>
        </w:trPr>
        <w:tc>
          <w:tcPr>
            <w:tcW w:w="5000" w:type="pct"/>
            <w:vAlign w:val="center"/>
          </w:tcPr>
          <w:p w14:paraId="64CC74DB" w14:textId="77777777" w:rsidR="00EE65DB" w:rsidRPr="00623235" w:rsidRDefault="006959AF" w:rsidP="00EE65DB">
            <w:pPr>
              <w:pStyle w:val="NoSpacing"/>
              <w:jc w:val="center"/>
              <w:rPr>
                <w:rFonts w:ascii="Verdana" w:hAnsi="Verdana"/>
                <w:sz w:val="44"/>
                <w:szCs w:val="44"/>
              </w:rPr>
            </w:pPr>
            <w:r w:rsidRPr="006959AF">
              <w:rPr>
                <w:rFonts w:ascii="Verdana" w:hAnsi="Verdana"/>
                <w:sz w:val="36"/>
                <w:szCs w:val="36"/>
                <w:lang w:val="en-GB"/>
              </w:rPr>
              <w:t>Payment Information Security Policy</w:t>
            </w:r>
          </w:p>
        </w:tc>
      </w:tr>
      <w:tr w:rsidR="00EE65DB" w:rsidRPr="00623235" w14:paraId="24F79A9A" w14:textId="77777777" w:rsidTr="34613224">
        <w:trPr>
          <w:trHeight w:val="360"/>
          <w:jc w:val="center"/>
        </w:trPr>
        <w:tc>
          <w:tcPr>
            <w:tcW w:w="5000" w:type="pct"/>
            <w:vAlign w:val="center"/>
          </w:tcPr>
          <w:p w14:paraId="684B1F2B" w14:textId="77777777" w:rsidR="00EE65DB" w:rsidRPr="00623235" w:rsidRDefault="00EE65DB">
            <w:pPr>
              <w:pStyle w:val="NoSpacing"/>
              <w:jc w:val="center"/>
              <w:rPr>
                <w:rFonts w:ascii="Verdana" w:hAnsi="Verdana"/>
              </w:rPr>
            </w:pPr>
          </w:p>
        </w:tc>
      </w:tr>
      <w:tr w:rsidR="00EE65DB" w:rsidRPr="00623235" w14:paraId="00F987D0" w14:textId="77777777" w:rsidTr="34613224">
        <w:trPr>
          <w:trHeight w:val="360"/>
          <w:jc w:val="center"/>
        </w:trPr>
        <w:tc>
          <w:tcPr>
            <w:tcW w:w="5000" w:type="pct"/>
            <w:vAlign w:val="center"/>
          </w:tcPr>
          <w:p w14:paraId="49F2C197" w14:textId="77777777" w:rsidR="00EE65DB" w:rsidRPr="00623235" w:rsidRDefault="00EE65DB" w:rsidP="00EE65DB">
            <w:pPr>
              <w:pStyle w:val="NoSpacing"/>
              <w:jc w:val="center"/>
              <w:rPr>
                <w:rFonts w:ascii="Verdana" w:hAnsi="Verdana"/>
                <w:b/>
                <w:bCs/>
                <w:sz w:val="20"/>
                <w:szCs w:val="20"/>
              </w:rPr>
            </w:pPr>
          </w:p>
        </w:tc>
      </w:tr>
      <w:tr w:rsidR="00EE65DB" w:rsidRPr="00623235" w14:paraId="344960D0" w14:textId="77777777" w:rsidTr="34613224">
        <w:trPr>
          <w:trHeight w:val="360"/>
          <w:jc w:val="center"/>
        </w:trPr>
        <w:tc>
          <w:tcPr>
            <w:tcW w:w="5000" w:type="pct"/>
            <w:vAlign w:val="center"/>
          </w:tcPr>
          <w:p w14:paraId="7FDBF4C0" w14:textId="3A67E6C3" w:rsidR="00EE65DB" w:rsidRPr="00623235" w:rsidRDefault="242312B1" w:rsidP="0075002D">
            <w:pPr>
              <w:pStyle w:val="NoSpacing"/>
              <w:jc w:val="center"/>
              <w:rPr>
                <w:rFonts w:ascii="Verdana" w:hAnsi="Verdana"/>
                <w:b/>
                <w:bCs/>
                <w:sz w:val="20"/>
                <w:szCs w:val="20"/>
              </w:rPr>
            </w:pPr>
            <w:r w:rsidRPr="34613224">
              <w:rPr>
                <w:rFonts w:ascii="Verdana" w:hAnsi="Verdana"/>
                <w:b/>
                <w:bCs/>
                <w:sz w:val="20"/>
                <w:szCs w:val="20"/>
              </w:rPr>
              <w:t>May 2025</w:t>
            </w:r>
            <w:r w:rsidR="2314FEF2" w:rsidRPr="34613224">
              <w:rPr>
                <w:rFonts w:ascii="Verdana" w:hAnsi="Verdana"/>
                <w:b/>
                <w:bCs/>
                <w:sz w:val="20"/>
                <w:szCs w:val="20"/>
              </w:rPr>
              <w:t xml:space="preserve"> </w:t>
            </w:r>
            <w:r w:rsidR="554AD7C0" w:rsidRPr="34613224">
              <w:rPr>
                <w:rFonts w:ascii="Verdana" w:hAnsi="Verdana"/>
                <w:b/>
                <w:bCs/>
                <w:sz w:val="20"/>
                <w:szCs w:val="20"/>
              </w:rPr>
              <w:t xml:space="preserve">| Release </w:t>
            </w:r>
            <w:r w:rsidR="0096B5C3" w:rsidRPr="34613224">
              <w:rPr>
                <w:rFonts w:ascii="Verdana" w:hAnsi="Verdana"/>
                <w:b/>
                <w:bCs/>
                <w:sz w:val="20"/>
                <w:szCs w:val="20"/>
              </w:rPr>
              <w:t>1</w:t>
            </w:r>
            <w:r w:rsidR="554AD7C0" w:rsidRPr="34613224">
              <w:rPr>
                <w:rFonts w:ascii="Verdana" w:hAnsi="Verdana"/>
                <w:b/>
                <w:bCs/>
                <w:sz w:val="20"/>
                <w:szCs w:val="20"/>
              </w:rPr>
              <w:t>.</w:t>
            </w:r>
            <w:r w:rsidR="4065B08E" w:rsidRPr="34613224">
              <w:rPr>
                <w:rFonts w:ascii="Verdana" w:hAnsi="Verdana"/>
                <w:b/>
                <w:bCs/>
                <w:sz w:val="20"/>
                <w:szCs w:val="20"/>
              </w:rPr>
              <w:t>2</w:t>
            </w:r>
          </w:p>
        </w:tc>
      </w:tr>
    </w:tbl>
    <w:p w14:paraId="7E13E2B3" w14:textId="77777777" w:rsidR="00EE65DB" w:rsidRPr="00623235" w:rsidRDefault="00EE65DB"/>
    <w:p w14:paraId="5BECF6BF" w14:textId="77777777" w:rsidR="00EE65DB" w:rsidRPr="00623235" w:rsidRDefault="00EE65DB"/>
    <w:p w14:paraId="2CC2D1D5" w14:textId="77777777" w:rsidR="00311635" w:rsidRPr="00623235" w:rsidRDefault="00B227B0" w:rsidP="00C40CF5">
      <w:r>
        <w:rPr>
          <w:szCs w:val="20"/>
        </w:rPr>
        <w:br w:type="page"/>
      </w:r>
    </w:p>
    <w:p w14:paraId="48F8A70E" w14:textId="77777777" w:rsidR="00C40CF5" w:rsidRPr="00394214" w:rsidRDefault="00C40CF5" w:rsidP="00CF3E28">
      <w:pPr>
        <w:pStyle w:val="Title"/>
      </w:pPr>
      <w:r w:rsidRPr="00394214">
        <w:lastRenderedPageBreak/>
        <w:t>Contents</w:t>
      </w:r>
    </w:p>
    <w:p w14:paraId="0415661D" w14:textId="6D2C7F62" w:rsidR="00F01938" w:rsidRDefault="006917F0">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rsidRPr="00394214">
        <w:fldChar w:fldCharType="begin"/>
      </w:r>
      <w:r w:rsidR="00C40CF5" w:rsidRPr="00394214">
        <w:instrText xml:space="preserve"> TOC \o "1-3" \h \z \u </w:instrText>
      </w:r>
      <w:r w:rsidRPr="00394214">
        <w:fldChar w:fldCharType="separate"/>
      </w:r>
      <w:hyperlink w:anchor="_Toc198901444" w:history="1">
        <w:r w:rsidR="00F01938" w:rsidRPr="00AF1218">
          <w:rPr>
            <w:rStyle w:val="Hyperlink"/>
            <w:noProof/>
          </w:rPr>
          <w:t>Purpose</w:t>
        </w:r>
        <w:r w:rsidR="00F01938">
          <w:rPr>
            <w:noProof/>
            <w:webHidden/>
          </w:rPr>
          <w:tab/>
        </w:r>
        <w:r w:rsidR="00F01938">
          <w:rPr>
            <w:noProof/>
            <w:webHidden/>
          </w:rPr>
          <w:fldChar w:fldCharType="begin"/>
        </w:r>
        <w:r w:rsidR="00F01938">
          <w:rPr>
            <w:noProof/>
            <w:webHidden/>
          </w:rPr>
          <w:instrText xml:space="preserve"> PAGEREF _Toc198901444 \h </w:instrText>
        </w:r>
        <w:r w:rsidR="00F01938">
          <w:rPr>
            <w:noProof/>
            <w:webHidden/>
          </w:rPr>
        </w:r>
        <w:r w:rsidR="00F01938">
          <w:rPr>
            <w:noProof/>
            <w:webHidden/>
          </w:rPr>
          <w:fldChar w:fldCharType="separate"/>
        </w:r>
        <w:r w:rsidR="00F01938">
          <w:rPr>
            <w:noProof/>
            <w:webHidden/>
          </w:rPr>
          <w:t>3</w:t>
        </w:r>
        <w:r w:rsidR="00F01938">
          <w:rPr>
            <w:noProof/>
            <w:webHidden/>
          </w:rPr>
          <w:fldChar w:fldCharType="end"/>
        </w:r>
      </w:hyperlink>
    </w:p>
    <w:p w14:paraId="43FB239A" w14:textId="75D96CEB" w:rsidR="00F01938" w:rsidRDefault="00F01938">
      <w:pPr>
        <w:pStyle w:val="TOC1"/>
        <w:tabs>
          <w:tab w:val="left" w:pos="40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98901445" w:history="1">
        <w:r w:rsidRPr="00AF1218">
          <w:rPr>
            <w:rStyle w:val="Hyperlink"/>
            <w:noProof/>
          </w:rPr>
          <w:t>1</w:t>
        </w:r>
        <w:r>
          <w:rPr>
            <w:rFonts w:asciiTheme="minorHAnsi" w:eastAsiaTheme="minorEastAsia" w:hAnsiTheme="minorHAnsi" w:cstheme="minorBidi"/>
            <w:noProof/>
            <w:kern w:val="2"/>
            <w:sz w:val="24"/>
            <w:szCs w:val="24"/>
            <w:lang w:eastAsia="en-GB"/>
            <w14:ligatures w14:val="standardContextual"/>
          </w:rPr>
          <w:tab/>
        </w:r>
        <w:r w:rsidRPr="00AF1218">
          <w:rPr>
            <w:rStyle w:val="Hyperlink"/>
            <w:noProof/>
          </w:rPr>
          <w:t>Scope</w:t>
        </w:r>
        <w:r>
          <w:rPr>
            <w:noProof/>
            <w:webHidden/>
          </w:rPr>
          <w:tab/>
        </w:r>
        <w:r>
          <w:rPr>
            <w:noProof/>
            <w:webHidden/>
          </w:rPr>
          <w:fldChar w:fldCharType="begin"/>
        </w:r>
        <w:r>
          <w:rPr>
            <w:noProof/>
            <w:webHidden/>
          </w:rPr>
          <w:instrText xml:space="preserve"> PAGEREF _Toc198901445 \h </w:instrText>
        </w:r>
        <w:r>
          <w:rPr>
            <w:noProof/>
            <w:webHidden/>
          </w:rPr>
        </w:r>
        <w:r>
          <w:rPr>
            <w:noProof/>
            <w:webHidden/>
          </w:rPr>
          <w:fldChar w:fldCharType="separate"/>
        </w:r>
        <w:r>
          <w:rPr>
            <w:noProof/>
            <w:webHidden/>
          </w:rPr>
          <w:t>3</w:t>
        </w:r>
        <w:r>
          <w:rPr>
            <w:noProof/>
            <w:webHidden/>
          </w:rPr>
          <w:fldChar w:fldCharType="end"/>
        </w:r>
      </w:hyperlink>
    </w:p>
    <w:p w14:paraId="1491A636" w14:textId="148E9D4F" w:rsidR="00F01938" w:rsidRDefault="00F01938">
      <w:pPr>
        <w:pStyle w:val="TOC1"/>
        <w:tabs>
          <w:tab w:val="left" w:pos="40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98901446" w:history="1">
        <w:r w:rsidRPr="00AF1218">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AF1218">
          <w:rPr>
            <w:rStyle w:val="Hyperlink"/>
            <w:noProof/>
          </w:rPr>
          <w:t>Responsibilities</w:t>
        </w:r>
        <w:r>
          <w:rPr>
            <w:noProof/>
            <w:webHidden/>
          </w:rPr>
          <w:tab/>
        </w:r>
        <w:r>
          <w:rPr>
            <w:noProof/>
            <w:webHidden/>
          </w:rPr>
          <w:fldChar w:fldCharType="begin"/>
        </w:r>
        <w:r>
          <w:rPr>
            <w:noProof/>
            <w:webHidden/>
          </w:rPr>
          <w:instrText xml:space="preserve"> PAGEREF _Toc198901446 \h </w:instrText>
        </w:r>
        <w:r>
          <w:rPr>
            <w:noProof/>
            <w:webHidden/>
          </w:rPr>
        </w:r>
        <w:r>
          <w:rPr>
            <w:noProof/>
            <w:webHidden/>
          </w:rPr>
          <w:fldChar w:fldCharType="separate"/>
        </w:r>
        <w:r>
          <w:rPr>
            <w:noProof/>
            <w:webHidden/>
          </w:rPr>
          <w:t>3</w:t>
        </w:r>
        <w:r>
          <w:rPr>
            <w:noProof/>
            <w:webHidden/>
          </w:rPr>
          <w:fldChar w:fldCharType="end"/>
        </w:r>
      </w:hyperlink>
    </w:p>
    <w:p w14:paraId="32A2223C" w14:textId="18542EF6" w:rsidR="00F01938" w:rsidRDefault="00F01938">
      <w:pPr>
        <w:pStyle w:val="TOC1"/>
        <w:tabs>
          <w:tab w:val="left" w:pos="40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98901447" w:history="1">
        <w:r w:rsidRPr="00AF1218">
          <w:rPr>
            <w:rStyle w:val="Hyperlink"/>
            <w:rFonts w:eastAsia="Arial"/>
            <w:noProof/>
          </w:rPr>
          <w:t>3</w:t>
        </w:r>
        <w:r>
          <w:rPr>
            <w:rFonts w:asciiTheme="minorHAnsi" w:eastAsiaTheme="minorEastAsia" w:hAnsiTheme="minorHAnsi" w:cstheme="minorBidi"/>
            <w:noProof/>
            <w:kern w:val="2"/>
            <w:sz w:val="24"/>
            <w:szCs w:val="24"/>
            <w:lang w:eastAsia="en-GB"/>
            <w14:ligatures w14:val="standardContextual"/>
          </w:rPr>
          <w:tab/>
        </w:r>
        <w:r w:rsidRPr="00AF1218">
          <w:rPr>
            <w:rStyle w:val="Hyperlink"/>
            <w:rFonts w:eastAsia="Arial"/>
            <w:noProof/>
          </w:rPr>
          <w:t>Payment Information Security Policy Statement</w:t>
        </w:r>
        <w:r>
          <w:rPr>
            <w:noProof/>
            <w:webHidden/>
          </w:rPr>
          <w:tab/>
        </w:r>
        <w:r>
          <w:rPr>
            <w:noProof/>
            <w:webHidden/>
          </w:rPr>
          <w:fldChar w:fldCharType="begin"/>
        </w:r>
        <w:r>
          <w:rPr>
            <w:noProof/>
            <w:webHidden/>
          </w:rPr>
          <w:instrText xml:space="preserve"> PAGEREF _Toc198901447 \h </w:instrText>
        </w:r>
        <w:r>
          <w:rPr>
            <w:noProof/>
            <w:webHidden/>
          </w:rPr>
        </w:r>
        <w:r>
          <w:rPr>
            <w:noProof/>
            <w:webHidden/>
          </w:rPr>
          <w:fldChar w:fldCharType="separate"/>
        </w:r>
        <w:r>
          <w:rPr>
            <w:noProof/>
            <w:webHidden/>
          </w:rPr>
          <w:t>3</w:t>
        </w:r>
        <w:r>
          <w:rPr>
            <w:noProof/>
            <w:webHidden/>
          </w:rPr>
          <w:fldChar w:fldCharType="end"/>
        </w:r>
      </w:hyperlink>
    </w:p>
    <w:p w14:paraId="11082F9E" w14:textId="55CCCD3F" w:rsidR="00F01938" w:rsidRDefault="00F01938">
      <w:pPr>
        <w:pStyle w:val="TOC1"/>
        <w:tabs>
          <w:tab w:val="left" w:pos="40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98901448" w:history="1">
        <w:r w:rsidRPr="00AF1218">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AF1218">
          <w:rPr>
            <w:rStyle w:val="Hyperlink"/>
            <w:noProof/>
          </w:rPr>
          <w:t>Document Management</w:t>
        </w:r>
        <w:r>
          <w:rPr>
            <w:noProof/>
            <w:webHidden/>
          </w:rPr>
          <w:tab/>
        </w:r>
        <w:r>
          <w:rPr>
            <w:noProof/>
            <w:webHidden/>
          </w:rPr>
          <w:fldChar w:fldCharType="begin"/>
        </w:r>
        <w:r>
          <w:rPr>
            <w:noProof/>
            <w:webHidden/>
          </w:rPr>
          <w:instrText xml:space="preserve"> PAGEREF _Toc198901448 \h </w:instrText>
        </w:r>
        <w:r>
          <w:rPr>
            <w:noProof/>
            <w:webHidden/>
          </w:rPr>
        </w:r>
        <w:r>
          <w:rPr>
            <w:noProof/>
            <w:webHidden/>
          </w:rPr>
          <w:fldChar w:fldCharType="separate"/>
        </w:r>
        <w:r>
          <w:rPr>
            <w:noProof/>
            <w:webHidden/>
          </w:rPr>
          <w:t>5</w:t>
        </w:r>
        <w:r>
          <w:rPr>
            <w:noProof/>
            <w:webHidden/>
          </w:rPr>
          <w:fldChar w:fldCharType="end"/>
        </w:r>
      </w:hyperlink>
    </w:p>
    <w:p w14:paraId="02176F62" w14:textId="7446B239" w:rsidR="00F01938" w:rsidRDefault="00F01938">
      <w:pPr>
        <w:pStyle w:val="TOC2"/>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98901449" w:history="1">
        <w:r w:rsidRPr="00AF1218">
          <w:rPr>
            <w:rStyle w:val="Hyperlink"/>
            <w:rFonts w:eastAsia="Verdana"/>
            <w:noProof/>
            <w:lang w:val="en-US"/>
          </w:rPr>
          <w:t>4.1</w:t>
        </w:r>
        <w:r>
          <w:rPr>
            <w:rFonts w:asciiTheme="minorHAnsi" w:eastAsiaTheme="minorEastAsia" w:hAnsiTheme="minorHAnsi" w:cstheme="minorBidi"/>
            <w:noProof/>
            <w:kern w:val="2"/>
            <w:sz w:val="24"/>
            <w:szCs w:val="24"/>
            <w:lang w:eastAsia="en-GB"/>
            <w14:ligatures w14:val="standardContextual"/>
          </w:rPr>
          <w:tab/>
        </w:r>
        <w:r w:rsidRPr="00AF1218">
          <w:rPr>
            <w:rStyle w:val="Hyperlink"/>
            <w:rFonts w:eastAsia="Verdana"/>
            <w:noProof/>
            <w:lang w:val="en-US"/>
          </w:rPr>
          <w:t>Document Owner and Approval</w:t>
        </w:r>
        <w:r>
          <w:rPr>
            <w:noProof/>
            <w:webHidden/>
          </w:rPr>
          <w:tab/>
        </w:r>
        <w:r>
          <w:rPr>
            <w:noProof/>
            <w:webHidden/>
          </w:rPr>
          <w:fldChar w:fldCharType="begin"/>
        </w:r>
        <w:r>
          <w:rPr>
            <w:noProof/>
            <w:webHidden/>
          </w:rPr>
          <w:instrText xml:space="preserve"> PAGEREF _Toc198901449 \h </w:instrText>
        </w:r>
        <w:r>
          <w:rPr>
            <w:noProof/>
            <w:webHidden/>
          </w:rPr>
        </w:r>
        <w:r>
          <w:rPr>
            <w:noProof/>
            <w:webHidden/>
          </w:rPr>
          <w:fldChar w:fldCharType="separate"/>
        </w:r>
        <w:r>
          <w:rPr>
            <w:noProof/>
            <w:webHidden/>
          </w:rPr>
          <w:t>5</w:t>
        </w:r>
        <w:r>
          <w:rPr>
            <w:noProof/>
            <w:webHidden/>
          </w:rPr>
          <w:fldChar w:fldCharType="end"/>
        </w:r>
      </w:hyperlink>
    </w:p>
    <w:p w14:paraId="5818B1CE" w14:textId="45DF7F1C" w:rsidR="00F01938" w:rsidRDefault="00F01938">
      <w:pPr>
        <w:pStyle w:val="TOC2"/>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98901450" w:history="1">
        <w:r w:rsidRPr="00AF1218">
          <w:rPr>
            <w:rStyle w:val="Hyperlink"/>
            <w:noProof/>
          </w:rPr>
          <w:t>4.2</w:t>
        </w:r>
        <w:r>
          <w:rPr>
            <w:rFonts w:asciiTheme="minorHAnsi" w:eastAsiaTheme="minorEastAsia" w:hAnsiTheme="minorHAnsi" w:cstheme="minorBidi"/>
            <w:noProof/>
            <w:kern w:val="2"/>
            <w:sz w:val="24"/>
            <w:szCs w:val="24"/>
            <w:lang w:eastAsia="en-GB"/>
            <w14:ligatures w14:val="standardContextual"/>
          </w:rPr>
          <w:tab/>
        </w:r>
        <w:r w:rsidRPr="00AF1218">
          <w:rPr>
            <w:rStyle w:val="Hyperlink"/>
            <w:noProof/>
          </w:rPr>
          <w:t>Change History Record</w:t>
        </w:r>
        <w:r>
          <w:rPr>
            <w:noProof/>
            <w:webHidden/>
          </w:rPr>
          <w:tab/>
        </w:r>
        <w:r>
          <w:rPr>
            <w:noProof/>
            <w:webHidden/>
          </w:rPr>
          <w:fldChar w:fldCharType="begin"/>
        </w:r>
        <w:r>
          <w:rPr>
            <w:noProof/>
            <w:webHidden/>
          </w:rPr>
          <w:instrText xml:space="preserve"> PAGEREF _Toc198901450 \h </w:instrText>
        </w:r>
        <w:r>
          <w:rPr>
            <w:noProof/>
            <w:webHidden/>
          </w:rPr>
        </w:r>
        <w:r>
          <w:rPr>
            <w:noProof/>
            <w:webHidden/>
          </w:rPr>
          <w:fldChar w:fldCharType="separate"/>
        </w:r>
        <w:r>
          <w:rPr>
            <w:noProof/>
            <w:webHidden/>
          </w:rPr>
          <w:t>5</w:t>
        </w:r>
        <w:r>
          <w:rPr>
            <w:noProof/>
            <w:webHidden/>
          </w:rPr>
          <w:fldChar w:fldCharType="end"/>
        </w:r>
      </w:hyperlink>
    </w:p>
    <w:p w14:paraId="383859D8" w14:textId="466A1650" w:rsidR="00C40CF5" w:rsidRPr="00623235" w:rsidRDefault="006917F0">
      <w:r w:rsidRPr="00394214">
        <w:fldChar w:fldCharType="end"/>
      </w:r>
    </w:p>
    <w:p w14:paraId="64DB7721" w14:textId="77777777" w:rsidR="005605CF" w:rsidRDefault="00BF415A" w:rsidP="00BF1ACF">
      <w:pPr>
        <w:pStyle w:val="Heading1"/>
        <w:numPr>
          <w:ilvl w:val="0"/>
          <w:numId w:val="0"/>
        </w:numPr>
      </w:pPr>
      <w:r w:rsidRPr="00623235">
        <w:br w:type="page"/>
      </w:r>
      <w:bookmarkStart w:id="0" w:name="_Toc198901444"/>
      <w:r w:rsidR="00BF3832">
        <w:lastRenderedPageBreak/>
        <w:t>Purpose</w:t>
      </w:r>
      <w:bookmarkEnd w:id="0"/>
    </w:p>
    <w:p w14:paraId="527607A7" w14:textId="3F0CA7CC" w:rsidR="001C7036" w:rsidRPr="00E352B2" w:rsidRDefault="00E352B2" w:rsidP="006437CF">
      <w:pPr>
        <w:tabs>
          <w:tab w:val="left" w:pos="720"/>
        </w:tabs>
        <w:rPr>
          <w:rFonts w:eastAsia="Arial" w:cs="Arial"/>
        </w:rPr>
      </w:pPr>
      <w:r>
        <w:rPr>
          <w:rFonts w:ascii="Arial" w:eastAsia="Arial" w:hAnsi="Arial" w:cs="Arial"/>
        </w:rPr>
        <w:br/>
      </w:r>
      <w:r w:rsidR="001C7036" w:rsidRPr="00E352B2">
        <w:rPr>
          <w:rFonts w:eastAsia="Arial" w:cs="Arial"/>
        </w:rPr>
        <w:t xml:space="preserve">The purpose of this document is to define the role that </w:t>
      </w:r>
      <w:r w:rsidR="00BF1ACF" w:rsidRPr="00BF1ACF">
        <w:rPr>
          <w:rFonts w:eastAsia="Arial" w:cs="Arial"/>
        </w:rPr>
        <w:t>Imperial College London</w:t>
      </w:r>
      <w:r w:rsidR="00066CBF">
        <w:rPr>
          <w:rFonts w:eastAsia="Arial" w:cs="Arial"/>
        </w:rPr>
        <w:t>’s</w:t>
      </w:r>
      <w:r w:rsidR="00BF1ACF" w:rsidRPr="00BF1ACF">
        <w:rPr>
          <w:rFonts w:eastAsia="Arial" w:cs="Arial"/>
        </w:rPr>
        <w:t xml:space="preserve"> </w:t>
      </w:r>
      <w:r w:rsidR="00045EA2">
        <w:rPr>
          <w:rFonts w:eastAsia="Arial" w:cs="Arial"/>
        </w:rPr>
        <w:t xml:space="preserve">(“Imperial”) </w:t>
      </w:r>
      <w:r w:rsidR="001C7036" w:rsidRPr="00E352B2">
        <w:rPr>
          <w:rFonts w:eastAsia="Arial" w:cs="Arial"/>
        </w:rPr>
        <w:t>senior management takes in operating</w:t>
      </w:r>
      <w:r w:rsidRPr="00E352B2">
        <w:rPr>
          <w:rFonts w:eastAsia="Arial" w:cs="Arial"/>
        </w:rPr>
        <w:t xml:space="preserve"> sustainable payment security. </w:t>
      </w:r>
      <w:r w:rsidR="001C7036" w:rsidRPr="00E352B2">
        <w:rPr>
          <w:rFonts w:eastAsia="Arial" w:cs="Arial"/>
        </w:rPr>
        <w:t xml:space="preserve">This ensures the commitment to </w:t>
      </w:r>
      <w:r w:rsidR="0024577A">
        <w:rPr>
          <w:rFonts w:eastAsia="Arial" w:cs="Arial"/>
        </w:rPr>
        <w:t>p</w:t>
      </w:r>
      <w:r w:rsidR="001C7036" w:rsidRPr="00E352B2">
        <w:rPr>
          <w:rFonts w:eastAsia="Arial" w:cs="Arial"/>
        </w:rPr>
        <w:t xml:space="preserve">ayment </w:t>
      </w:r>
      <w:r w:rsidR="0024577A">
        <w:rPr>
          <w:rFonts w:eastAsia="Arial" w:cs="Arial"/>
        </w:rPr>
        <w:t>i</w:t>
      </w:r>
      <w:r w:rsidR="001C7036" w:rsidRPr="00E352B2">
        <w:rPr>
          <w:rFonts w:eastAsia="Arial" w:cs="Arial"/>
        </w:rPr>
        <w:t xml:space="preserve">nformation security, the development and propagation of the policy, and the assignment </w:t>
      </w:r>
      <w:r>
        <w:rPr>
          <w:rFonts w:eastAsia="Arial" w:cs="Arial"/>
        </w:rPr>
        <w:t xml:space="preserve">of appropriate </w:t>
      </w:r>
      <w:r w:rsidR="001C7036" w:rsidRPr="00E352B2">
        <w:rPr>
          <w:rFonts w:eastAsia="Arial" w:cs="Arial"/>
        </w:rPr>
        <w:t xml:space="preserve">roles, </w:t>
      </w:r>
      <w:r w:rsidR="0075228A" w:rsidRPr="00E352B2">
        <w:rPr>
          <w:rFonts w:eastAsia="Arial" w:cs="Arial"/>
        </w:rPr>
        <w:t>responsibilities,</w:t>
      </w:r>
      <w:r w:rsidR="001C7036" w:rsidRPr="00E352B2">
        <w:rPr>
          <w:rFonts w:eastAsia="Arial" w:cs="Arial"/>
        </w:rPr>
        <w:t xml:space="preserve"> and authorities.</w:t>
      </w:r>
    </w:p>
    <w:p w14:paraId="15106345" w14:textId="7B281687" w:rsidR="00BF3832" w:rsidRDefault="00E352B2" w:rsidP="006437CF">
      <w:r w:rsidRPr="00E352B2">
        <w:t>This policy</w:t>
      </w:r>
      <w:r w:rsidRPr="00D269E2">
        <w:t xml:space="preserve"> </w:t>
      </w:r>
      <w:r>
        <w:t xml:space="preserve">may be used to </w:t>
      </w:r>
      <w:r w:rsidRPr="00D269E2">
        <w:t xml:space="preserve">demonstrate and communicate </w:t>
      </w:r>
      <w:r>
        <w:t xml:space="preserve">the level </w:t>
      </w:r>
      <w:r w:rsidR="00D72E5F">
        <w:t>of</w:t>
      </w:r>
      <w:r w:rsidRPr="00D269E2">
        <w:t xml:space="preserve"> import</w:t>
      </w:r>
      <w:r>
        <w:t>ance</w:t>
      </w:r>
      <w:r w:rsidRPr="00D269E2">
        <w:t xml:space="preserve"> </w:t>
      </w:r>
      <w:r w:rsidR="00D72E5F">
        <w:t xml:space="preserve">that </w:t>
      </w:r>
      <w:r>
        <w:t>the organisation</w:t>
      </w:r>
      <w:r w:rsidRPr="00D269E2">
        <w:t xml:space="preserve"> </w:t>
      </w:r>
      <w:r>
        <w:t>places on</w:t>
      </w:r>
      <w:r w:rsidRPr="00D269E2">
        <w:t xml:space="preserve"> </w:t>
      </w:r>
      <w:r>
        <w:t xml:space="preserve">the protection of </w:t>
      </w:r>
      <w:r w:rsidR="00BF3AC3">
        <w:t>cardholder data (CHD)</w:t>
      </w:r>
      <w:r w:rsidR="009745D6">
        <w:t>,</w:t>
      </w:r>
      <w:r w:rsidRPr="007B6710">
        <w:t xml:space="preserve"> associated with any credit or debit card transaction</w:t>
      </w:r>
      <w:r w:rsidR="00782B2D">
        <w:t xml:space="preserve"> </w:t>
      </w:r>
      <w:r>
        <w:t xml:space="preserve">as part of </w:t>
      </w:r>
      <w:r w:rsidR="00045EA2">
        <w:rPr>
          <w:rFonts w:eastAsia="Arial" w:cs="Arial"/>
        </w:rPr>
        <w:t>Imperial</w:t>
      </w:r>
      <w:r w:rsidR="00045EA2">
        <w:t xml:space="preserve">’s </w:t>
      </w:r>
      <w:r>
        <w:t>payment security practices.</w:t>
      </w:r>
    </w:p>
    <w:p w14:paraId="30BCFA20" w14:textId="77777777" w:rsidR="00BF3832" w:rsidRDefault="00BF3832" w:rsidP="00BF3832">
      <w:pPr>
        <w:pStyle w:val="Heading1"/>
      </w:pPr>
      <w:bookmarkStart w:id="1" w:name="_Toc198901445"/>
      <w:r>
        <w:t>Scope</w:t>
      </w:r>
      <w:bookmarkEnd w:id="1"/>
    </w:p>
    <w:p w14:paraId="5CD46FF8" w14:textId="341CE74C" w:rsidR="00BF3832" w:rsidRPr="00C74637" w:rsidRDefault="004F3F36" w:rsidP="00BF3832">
      <w:pPr>
        <w:rPr>
          <w:rFonts w:eastAsia="Times New Roman"/>
          <w:szCs w:val="20"/>
        </w:rPr>
      </w:pPr>
      <w:r>
        <w:br/>
      </w:r>
      <w:r w:rsidR="00C50FE5" w:rsidRPr="00177A1B">
        <w:rPr>
          <w:rFonts w:eastAsia="Times New Roman"/>
          <w:szCs w:val="20"/>
        </w:rPr>
        <w:t xml:space="preserve">The policy applies to all staff associated with the </w:t>
      </w:r>
      <w:r w:rsidR="00782B2D">
        <w:rPr>
          <w:rFonts w:eastAsia="Times New Roman"/>
          <w:szCs w:val="20"/>
        </w:rPr>
        <w:t>c</w:t>
      </w:r>
      <w:r w:rsidR="00C50FE5" w:rsidRPr="00177A1B">
        <w:rPr>
          <w:rFonts w:eastAsia="Times New Roman"/>
          <w:szCs w:val="20"/>
        </w:rPr>
        <w:t xml:space="preserve">ardholder </w:t>
      </w:r>
      <w:r w:rsidR="00EE568D">
        <w:rPr>
          <w:rFonts w:eastAsia="Times New Roman"/>
          <w:szCs w:val="20"/>
        </w:rPr>
        <w:t>d</w:t>
      </w:r>
      <w:r w:rsidR="00C50FE5" w:rsidRPr="00177A1B">
        <w:rPr>
          <w:rFonts w:eastAsia="Times New Roman"/>
          <w:szCs w:val="20"/>
        </w:rPr>
        <w:t xml:space="preserve">ata </w:t>
      </w:r>
      <w:r w:rsidR="00782B2D">
        <w:rPr>
          <w:rFonts w:eastAsia="Times New Roman"/>
          <w:szCs w:val="20"/>
        </w:rPr>
        <w:t>e</w:t>
      </w:r>
      <w:r w:rsidR="00C50FE5" w:rsidRPr="00177A1B">
        <w:rPr>
          <w:rFonts w:eastAsia="Times New Roman"/>
          <w:szCs w:val="20"/>
        </w:rPr>
        <w:t>nvironment (CDE)</w:t>
      </w:r>
      <w:r w:rsidR="009745D6">
        <w:rPr>
          <w:rFonts w:eastAsia="Times New Roman"/>
          <w:szCs w:val="20"/>
        </w:rPr>
        <w:t>,</w:t>
      </w:r>
      <w:r w:rsidR="00C50FE5" w:rsidRPr="00177A1B">
        <w:rPr>
          <w:rFonts w:eastAsia="Times New Roman"/>
          <w:szCs w:val="20"/>
        </w:rPr>
        <w:t xml:space="preserve"> including contractors and anyone else who</w:t>
      </w:r>
      <w:r w:rsidR="00891773">
        <w:rPr>
          <w:rFonts w:eastAsia="Times New Roman"/>
          <w:szCs w:val="20"/>
        </w:rPr>
        <w:t>,</w:t>
      </w:r>
      <w:r w:rsidR="00C50FE5" w:rsidRPr="00177A1B">
        <w:rPr>
          <w:rFonts w:eastAsia="Times New Roman"/>
          <w:szCs w:val="20"/>
        </w:rPr>
        <w:t xml:space="preserve"> even on a temporary basis, processes card payments or support</w:t>
      </w:r>
      <w:r w:rsidR="00CD0153">
        <w:rPr>
          <w:rFonts w:eastAsia="Times New Roman"/>
          <w:szCs w:val="20"/>
        </w:rPr>
        <w:t>s</w:t>
      </w:r>
      <w:r w:rsidR="00C50FE5" w:rsidRPr="00177A1B">
        <w:rPr>
          <w:rFonts w:eastAsia="Times New Roman"/>
          <w:szCs w:val="20"/>
        </w:rPr>
        <w:t xml:space="preserve"> the payment card technical infrastructure.</w:t>
      </w:r>
    </w:p>
    <w:p w14:paraId="5CD86ED5" w14:textId="77777777" w:rsidR="00C50FE5" w:rsidRDefault="00BF3832" w:rsidP="00C50FE5">
      <w:pPr>
        <w:pStyle w:val="Heading1"/>
      </w:pPr>
      <w:bookmarkStart w:id="2" w:name="_Toc198901446"/>
      <w:r w:rsidRPr="00BF3832">
        <w:t>Responsibilities</w:t>
      </w:r>
      <w:bookmarkEnd w:id="2"/>
      <w:r w:rsidR="00A974E9">
        <w:br/>
      </w:r>
    </w:p>
    <w:p w14:paraId="7620D73D" w14:textId="77777777" w:rsidR="00C50FE5" w:rsidRPr="00850435" w:rsidRDefault="00C50FE5" w:rsidP="00A974E9">
      <w:pPr>
        <w:numPr>
          <w:ilvl w:val="0"/>
          <w:numId w:val="25"/>
        </w:numPr>
        <w:pBdr>
          <w:top w:val="nil"/>
          <w:left w:val="nil"/>
          <w:bottom w:val="nil"/>
          <w:right w:val="nil"/>
          <w:between w:val="nil"/>
        </w:pBdr>
        <w:spacing w:after="0" w:line="240" w:lineRule="auto"/>
        <w:rPr>
          <w:rFonts w:eastAsia="Arial" w:cs="Arial"/>
          <w:color w:val="000000"/>
        </w:rPr>
      </w:pPr>
      <w:r w:rsidRPr="00850435">
        <w:rPr>
          <w:rFonts w:eastAsia="Arial" w:cs="Arial"/>
          <w:color w:val="000000"/>
        </w:rPr>
        <w:t xml:space="preserve">The </w:t>
      </w:r>
      <w:r w:rsidR="00045EA2" w:rsidRPr="00045EA2">
        <w:rPr>
          <w:rFonts w:eastAsia="Arial" w:cs="Arial"/>
          <w:color w:val="000000"/>
        </w:rPr>
        <w:t xml:space="preserve">Payment Security Committee </w:t>
      </w:r>
      <w:r w:rsidRPr="00850435">
        <w:rPr>
          <w:rFonts w:eastAsia="Arial" w:cs="Arial"/>
          <w:color w:val="000000"/>
        </w:rPr>
        <w:t>is responsible for setting and approving the payment information security policy.</w:t>
      </w:r>
      <w:r w:rsidRPr="00850435">
        <w:rPr>
          <w:rFonts w:eastAsia="Arial" w:cs="Arial"/>
          <w:color w:val="000000"/>
        </w:rPr>
        <w:br/>
      </w:r>
    </w:p>
    <w:p w14:paraId="64EE34A5" w14:textId="638E240F" w:rsidR="00850435" w:rsidRPr="00850435" w:rsidRDefault="00C50FE5" w:rsidP="00A974E9">
      <w:pPr>
        <w:numPr>
          <w:ilvl w:val="0"/>
          <w:numId w:val="25"/>
        </w:numPr>
        <w:pBdr>
          <w:top w:val="nil"/>
          <w:left w:val="nil"/>
          <w:bottom w:val="nil"/>
          <w:right w:val="nil"/>
          <w:between w:val="nil"/>
        </w:pBdr>
        <w:spacing w:after="0" w:line="240" w:lineRule="auto"/>
        <w:rPr>
          <w:rFonts w:eastAsia="Arial" w:cs="Arial"/>
          <w:color w:val="000000"/>
        </w:rPr>
      </w:pPr>
      <w:r w:rsidRPr="00850435">
        <w:rPr>
          <w:rFonts w:eastAsia="Arial" w:cs="Arial"/>
          <w:color w:val="000000"/>
        </w:rPr>
        <w:t xml:space="preserve">The </w:t>
      </w:r>
      <w:r w:rsidR="00045EA2" w:rsidRPr="00045EA2">
        <w:rPr>
          <w:rFonts w:eastAsia="Arial" w:cs="Arial"/>
          <w:color w:val="000000"/>
        </w:rPr>
        <w:t xml:space="preserve">Payment Security Committee </w:t>
      </w:r>
      <w:r w:rsidRPr="00850435">
        <w:rPr>
          <w:rFonts w:eastAsia="Arial" w:cs="Arial"/>
          <w:color w:val="000000"/>
        </w:rPr>
        <w:t xml:space="preserve">will nominate an overall </w:t>
      </w:r>
      <w:r w:rsidR="00045EA2" w:rsidRPr="00045EA2">
        <w:rPr>
          <w:rFonts w:eastAsia="Arial" w:cs="Arial"/>
          <w:color w:val="000000"/>
        </w:rPr>
        <w:t>Payment Compliance Officer</w:t>
      </w:r>
      <w:r w:rsidRPr="00045EA2">
        <w:rPr>
          <w:rFonts w:eastAsia="Arial" w:cs="Arial"/>
          <w:color w:val="000000"/>
        </w:rPr>
        <w:t xml:space="preserve"> </w:t>
      </w:r>
      <w:r w:rsidR="00806FC5">
        <w:rPr>
          <w:rFonts w:eastAsia="Arial" w:cs="Arial"/>
          <w:color w:val="000000"/>
        </w:rPr>
        <w:t xml:space="preserve">(PCO) </w:t>
      </w:r>
      <w:r w:rsidRPr="00850435">
        <w:rPr>
          <w:rFonts w:eastAsia="Arial" w:cs="Arial"/>
          <w:color w:val="000000"/>
        </w:rPr>
        <w:t xml:space="preserve">who is responsible for ensuring that roles, </w:t>
      </w:r>
      <w:r w:rsidR="00AE59A9" w:rsidRPr="00850435">
        <w:rPr>
          <w:rFonts w:eastAsia="Arial" w:cs="Arial"/>
          <w:color w:val="000000"/>
        </w:rPr>
        <w:t>responsibilities,</w:t>
      </w:r>
      <w:r w:rsidRPr="00850435">
        <w:rPr>
          <w:rFonts w:eastAsia="Arial" w:cs="Arial"/>
          <w:color w:val="000000"/>
        </w:rPr>
        <w:t xml:space="preserve"> and authorities are appropriately assigned, maintained and updated as necessary.</w:t>
      </w:r>
      <w:r w:rsidR="00850435" w:rsidRPr="00850435">
        <w:rPr>
          <w:rFonts w:eastAsia="Arial" w:cs="Arial"/>
          <w:color w:val="000000"/>
        </w:rPr>
        <w:br/>
      </w:r>
    </w:p>
    <w:p w14:paraId="216696F4" w14:textId="58D15EAD" w:rsidR="00850435" w:rsidRPr="00850435" w:rsidRDefault="00850435" w:rsidP="00A974E9">
      <w:pPr>
        <w:numPr>
          <w:ilvl w:val="0"/>
          <w:numId w:val="25"/>
        </w:numPr>
        <w:pBdr>
          <w:top w:val="nil"/>
          <w:left w:val="nil"/>
          <w:bottom w:val="nil"/>
          <w:right w:val="nil"/>
          <w:between w:val="nil"/>
        </w:pBdr>
        <w:spacing w:after="0" w:line="240" w:lineRule="auto"/>
        <w:rPr>
          <w:rFonts w:eastAsia="Arial" w:cs="Arial"/>
          <w:color w:val="000000"/>
        </w:rPr>
      </w:pPr>
      <w:r w:rsidRPr="00850435">
        <w:t>Overall responsi</w:t>
      </w:r>
      <w:r>
        <w:t xml:space="preserve">bility and accountability </w:t>
      </w:r>
      <w:r w:rsidRPr="00850435">
        <w:t xml:space="preserve">for </w:t>
      </w:r>
      <w:r w:rsidR="00EE63B9">
        <w:t xml:space="preserve">the </w:t>
      </w:r>
      <w:r>
        <w:t xml:space="preserve">security of </w:t>
      </w:r>
      <w:r w:rsidR="00BF3AC3">
        <w:t>CHD</w:t>
      </w:r>
      <w:r w:rsidRPr="007B6710">
        <w:t xml:space="preserve"> associated with any credit or debit card transaction </w:t>
      </w:r>
      <w:r w:rsidRPr="00850435">
        <w:t xml:space="preserve">within </w:t>
      </w:r>
      <w:r w:rsidR="00EE63B9">
        <w:t>Imperial</w:t>
      </w:r>
      <w:r w:rsidR="009745D6">
        <w:t>,</w:t>
      </w:r>
      <w:r w:rsidRPr="00850435">
        <w:t xml:space="preserve"> resides with the </w:t>
      </w:r>
      <w:r w:rsidR="000B2A11">
        <w:t xml:space="preserve">managers in areas interacting with </w:t>
      </w:r>
      <w:r w:rsidR="00EE63B9">
        <w:t>CHD</w:t>
      </w:r>
      <w:r w:rsidR="000B2A11">
        <w:t xml:space="preserve">. </w:t>
      </w:r>
    </w:p>
    <w:p w14:paraId="77B9CF87" w14:textId="77777777" w:rsidR="00850435" w:rsidRPr="00850435" w:rsidRDefault="00850435" w:rsidP="00A974E9">
      <w:pPr>
        <w:pBdr>
          <w:top w:val="nil"/>
          <w:left w:val="nil"/>
          <w:bottom w:val="nil"/>
          <w:right w:val="nil"/>
          <w:between w:val="nil"/>
        </w:pBdr>
        <w:spacing w:after="0" w:line="240" w:lineRule="auto"/>
        <w:rPr>
          <w:rFonts w:eastAsia="Arial" w:cs="Arial"/>
          <w:color w:val="000000"/>
        </w:rPr>
      </w:pPr>
    </w:p>
    <w:p w14:paraId="2E5B536C" w14:textId="308E94FA" w:rsidR="00C50FE5" w:rsidRPr="00850435" w:rsidRDefault="00C50FE5" w:rsidP="00A974E9">
      <w:pPr>
        <w:numPr>
          <w:ilvl w:val="0"/>
          <w:numId w:val="25"/>
        </w:numPr>
        <w:rPr>
          <w:rFonts w:eastAsia="Times New Roman"/>
          <w:szCs w:val="20"/>
        </w:rPr>
      </w:pPr>
      <w:r w:rsidRPr="00850435">
        <w:rPr>
          <w:rFonts w:eastAsia="Arial" w:cs="Arial"/>
          <w:color w:val="000000"/>
        </w:rPr>
        <w:t xml:space="preserve">All </w:t>
      </w:r>
      <w:r w:rsidR="00EE63B9">
        <w:rPr>
          <w:rFonts w:eastAsia="Arial" w:cs="Arial"/>
          <w:color w:val="000000"/>
        </w:rPr>
        <w:t>e</w:t>
      </w:r>
      <w:r w:rsidRPr="00850435">
        <w:rPr>
          <w:rFonts w:eastAsia="Arial" w:cs="Arial"/>
          <w:color w:val="000000"/>
        </w:rPr>
        <w:t xml:space="preserve">mployees are responsible for adhering to the requirements of the </w:t>
      </w:r>
      <w:r w:rsidR="001F7987">
        <w:rPr>
          <w:rFonts w:eastAsia="Arial" w:cs="Arial"/>
          <w:color w:val="000000"/>
        </w:rPr>
        <w:t xml:space="preserve">payment </w:t>
      </w:r>
      <w:r w:rsidRPr="00850435">
        <w:rPr>
          <w:rFonts w:eastAsia="Arial" w:cs="Arial"/>
          <w:color w:val="000000"/>
        </w:rPr>
        <w:t>information security policy and for fulfilling any duties related to assigned roles, responsibilities or authorities.</w:t>
      </w:r>
    </w:p>
    <w:p w14:paraId="4F92DC22" w14:textId="77777777" w:rsidR="00BF3832" w:rsidRPr="00BF3832" w:rsidRDefault="003A1FFC" w:rsidP="00BF3832">
      <w:pPr>
        <w:pStyle w:val="Heading1"/>
        <w:rPr>
          <w:rFonts w:eastAsia="Arial"/>
        </w:rPr>
      </w:pPr>
      <w:bookmarkStart w:id="3" w:name="_Toc198901447"/>
      <w:r>
        <w:rPr>
          <w:rFonts w:eastAsia="Arial"/>
        </w:rPr>
        <w:t xml:space="preserve">Payment </w:t>
      </w:r>
      <w:r w:rsidR="00BF3832" w:rsidRPr="00BF3832">
        <w:rPr>
          <w:rFonts w:eastAsia="Arial"/>
        </w:rPr>
        <w:t>Information Security Policy Statement</w:t>
      </w:r>
      <w:bookmarkEnd w:id="3"/>
      <w:r w:rsidR="00A974E9">
        <w:rPr>
          <w:rFonts w:eastAsia="Arial"/>
        </w:rPr>
        <w:br/>
      </w:r>
    </w:p>
    <w:p w14:paraId="5013D6BB" w14:textId="70501C5F" w:rsidR="00A974E9" w:rsidRDefault="001F7987" w:rsidP="00A974E9">
      <w:pPr>
        <w:numPr>
          <w:ilvl w:val="0"/>
          <w:numId w:val="26"/>
        </w:numPr>
      </w:pPr>
      <w:r>
        <w:t xml:space="preserve">It is </w:t>
      </w:r>
      <w:r w:rsidR="00045EA2" w:rsidRPr="00BF1ACF">
        <w:rPr>
          <w:rFonts w:eastAsia="Arial" w:cs="Arial"/>
        </w:rPr>
        <w:t>Imperial</w:t>
      </w:r>
      <w:r w:rsidR="00045EA2">
        <w:rPr>
          <w:rFonts w:eastAsia="Arial" w:cs="Arial"/>
        </w:rPr>
        <w:t>’s</w:t>
      </w:r>
      <w:r w:rsidR="00045EA2" w:rsidRPr="00BF1ACF">
        <w:rPr>
          <w:rFonts w:eastAsia="Arial" w:cs="Arial"/>
        </w:rPr>
        <w:t xml:space="preserve"> </w:t>
      </w:r>
      <w:r w:rsidR="0008450D">
        <w:t>policy to maintain a</w:t>
      </w:r>
      <w:r>
        <w:t xml:space="preserve"> </w:t>
      </w:r>
      <w:r w:rsidR="0008450D">
        <w:t>level of payment s</w:t>
      </w:r>
      <w:r>
        <w:t>ecurity</w:t>
      </w:r>
      <w:r w:rsidR="0008450D">
        <w:t xml:space="preserve"> that</w:t>
      </w:r>
      <w:r>
        <w:t xml:space="preserve"> </w:t>
      </w:r>
      <w:r w:rsidR="0008450D">
        <w:t xml:space="preserve">at least </w:t>
      </w:r>
      <w:r>
        <w:t>meet</w:t>
      </w:r>
      <w:r w:rsidR="0008450D">
        <w:t>s</w:t>
      </w:r>
      <w:r>
        <w:t xml:space="preserve"> the </w:t>
      </w:r>
      <w:r w:rsidRPr="00045EA2">
        <w:t xml:space="preserve">requirements of the </w:t>
      </w:r>
      <w:r w:rsidR="00EE63B9">
        <w:t>Payment Card Industry Data Security Standard (</w:t>
      </w:r>
      <w:r w:rsidRPr="00045EA2">
        <w:t>PCI DSS</w:t>
      </w:r>
      <w:r w:rsidR="00EE63B9">
        <w:t>)</w:t>
      </w:r>
      <w:r w:rsidR="00045EA2" w:rsidRPr="00045EA2">
        <w:t xml:space="preserve"> </w:t>
      </w:r>
      <w:r w:rsidR="00EE63B9">
        <w:t xml:space="preserve">for </w:t>
      </w:r>
      <w:r w:rsidR="00045EA2" w:rsidRPr="00BF1ACF">
        <w:rPr>
          <w:rFonts w:eastAsia="Arial" w:cs="Arial"/>
        </w:rPr>
        <w:t>Imperial</w:t>
      </w:r>
      <w:r w:rsidR="00EE63B9">
        <w:rPr>
          <w:rFonts w:eastAsia="Arial" w:cs="Arial"/>
        </w:rPr>
        <w:t>’s</w:t>
      </w:r>
      <w:r w:rsidR="00045EA2" w:rsidRPr="00BF1ACF">
        <w:rPr>
          <w:rFonts w:eastAsia="Arial" w:cs="Arial"/>
        </w:rPr>
        <w:t xml:space="preserve"> </w:t>
      </w:r>
      <w:r w:rsidR="0008450D">
        <w:t>payment acceptance activities.</w:t>
      </w:r>
    </w:p>
    <w:p w14:paraId="2421B561" w14:textId="56BEB3F1" w:rsidR="00C50FE5" w:rsidRDefault="00045EA2" w:rsidP="00A974E9">
      <w:pPr>
        <w:numPr>
          <w:ilvl w:val="0"/>
          <w:numId w:val="26"/>
        </w:numPr>
      </w:pPr>
      <w:r w:rsidRPr="00BF1ACF">
        <w:rPr>
          <w:rFonts w:eastAsia="Arial" w:cs="Arial"/>
        </w:rPr>
        <w:t>Imperial</w:t>
      </w:r>
      <w:r>
        <w:rPr>
          <w:rFonts w:eastAsia="Arial" w:cs="Arial"/>
        </w:rPr>
        <w:t xml:space="preserve"> </w:t>
      </w:r>
      <w:r w:rsidR="00C50FE5">
        <w:t xml:space="preserve">aims to provide </w:t>
      </w:r>
      <w:r w:rsidR="0008450D">
        <w:t xml:space="preserve">a level of payment security to the </w:t>
      </w:r>
      <w:r w:rsidR="00C50FE5">
        <w:t xml:space="preserve">satisfaction </w:t>
      </w:r>
      <w:r w:rsidR="0008450D">
        <w:t>of</w:t>
      </w:r>
      <w:r w:rsidR="00C50FE5">
        <w:t xml:space="preserve"> all customers, stakeholders and interested parties, meeting and exceeding expectations. </w:t>
      </w:r>
    </w:p>
    <w:p w14:paraId="3C37FDDD" w14:textId="595559D4" w:rsidR="00C50FE5" w:rsidRDefault="00045EA2" w:rsidP="00A974E9">
      <w:pPr>
        <w:numPr>
          <w:ilvl w:val="0"/>
          <w:numId w:val="26"/>
        </w:numPr>
      </w:pPr>
      <w:r w:rsidRPr="00BF1ACF">
        <w:rPr>
          <w:rFonts w:eastAsia="Arial" w:cs="Arial"/>
        </w:rPr>
        <w:lastRenderedPageBreak/>
        <w:t>Imperial</w:t>
      </w:r>
      <w:r>
        <w:t xml:space="preserve"> </w:t>
      </w:r>
      <w:r w:rsidR="00C50FE5">
        <w:t xml:space="preserve">ensures the details of this policy are known to all internal and external parties where </w:t>
      </w:r>
      <w:r w:rsidR="008564FE">
        <w:t>appropriate and</w:t>
      </w:r>
      <w:r w:rsidR="00C50FE5">
        <w:t xml:space="preserve"> determine</w:t>
      </w:r>
      <w:r w:rsidR="0008450D">
        <w:t>s</w:t>
      </w:r>
      <w:r w:rsidR="00C50FE5">
        <w:t xml:space="preserve"> the need for communication and by what methods. These include</w:t>
      </w:r>
      <w:r w:rsidR="00D72E5F">
        <w:t>,</w:t>
      </w:r>
      <w:r w:rsidR="00C50FE5">
        <w:t xml:space="preserve"> but are not limited to</w:t>
      </w:r>
      <w:r w:rsidR="00EE63B9">
        <w:t>,</w:t>
      </w:r>
      <w:r w:rsidR="00C50FE5">
        <w:t xml:space="preserve"> customers and suppliers and their requirements as documented in contracts and specifications</w:t>
      </w:r>
      <w:r w:rsidR="00EE63B9">
        <w:t xml:space="preserve"> and internal staff who are directly involved in accepting payments or supporting the technical and maintenance aspects of the CDE</w:t>
      </w:r>
      <w:r w:rsidR="00C50FE5">
        <w:t>.</w:t>
      </w:r>
    </w:p>
    <w:p w14:paraId="52F76FD3" w14:textId="570CA891" w:rsidR="00806FC5" w:rsidRDefault="00806FC5" w:rsidP="00A974E9">
      <w:pPr>
        <w:numPr>
          <w:ilvl w:val="0"/>
          <w:numId w:val="26"/>
        </w:numPr>
      </w:pPr>
      <w:r>
        <w:t xml:space="preserve">Imperial will ensure that the PCO has adequate resources and information that will allow the PCO to carry out the responsibilities associated with that role of PCO. The PCO for the College is Gavin Jones, Head of Income, (email: </w:t>
      </w:r>
      <w:hyperlink r:id="rId12" w:history="1">
        <w:r w:rsidRPr="006C4C5A">
          <w:rPr>
            <w:rStyle w:val="Hyperlink"/>
          </w:rPr>
          <w:t>gavin.jones@imperial.ac.uk</w:t>
        </w:r>
      </w:hyperlink>
      <w:r>
        <w:t xml:space="preserve">). </w:t>
      </w:r>
    </w:p>
    <w:p w14:paraId="4B12E6E5" w14:textId="7CC051DD" w:rsidR="00F26456" w:rsidRDefault="667E1875" w:rsidP="00A974E9">
      <w:pPr>
        <w:numPr>
          <w:ilvl w:val="0"/>
          <w:numId w:val="26"/>
        </w:numPr>
      </w:pPr>
      <w:r>
        <w:t>All employees, third parties and contractors</w:t>
      </w:r>
      <w:r w:rsidR="00050898">
        <w:t xml:space="preserve"> shall not send credit or debit </w:t>
      </w:r>
      <w:r w:rsidR="00C83A24">
        <w:t>CHD</w:t>
      </w:r>
      <w:r w:rsidR="00050898">
        <w:t xml:space="preserve"> via end-user messaging technologies such as e-mail, instant messaging or chat</w:t>
      </w:r>
      <w:r w:rsidR="00C83A24">
        <w:t xml:space="preserve"> applications</w:t>
      </w:r>
      <w:r w:rsidR="00050898">
        <w:t>.</w:t>
      </w:r>
    </w:p>
    <w:p w14:paraId="2F30B057" w14:textId="4FB833F0" w:rsidR="00725441" w:rsidRDefault="00725441" w:rsidP="00A974E9">
      <w:pPr>
        <w:numPr>
          <w:ilvl w:val="0"/>
          <w:numId w:val="26"/>
        </w:numPr>
      </w:pPr>
      <w:r w:rsidRPr="00725441">
        <w:t xml:space="preserve">All employees, </w:t>
      </w:r>
      <w:r w:rsidR="00A126C0">
        <w:t>third parties</w:t>
      </w:r>
      <w:r w:rsidRPr="00725441">
        <w:t xml:space="preserve"> </w:t>
      </w:r>
      <w:r w:rsidR="00C83A24">
        <w:t>and</w:t>
      </w:r>
      <w:r w:rsidRPr="00725441">
        <w:t xml:space="preserve"> contractors shall not attach or use within </w:t>
      </w:r>
      <w:r>
        <w:t>Imperial’s</w:t>
      </w:r>
      <w:r w:rsidRPr="00725441">
        <w:t xml:space="preserve"> </w:t>
      </w:r>
      <w:r w:rsidR="00C83A24">
        <w:t>CDEs,</w:t>
      </w:r>
      <w:r w:rsidRPr="00725441">
        <w:t xml:space="preserve"> network devices including but not limited to modems, remote-access technologies, wireless technologies, removable electronic media, personal laptops, tablets, </w:t>
      </w:r>
      <w:r w:rsidR="00D81592" w:rsidRPr="00725441">
        <w:t>smartphones,</w:t>
      </w:r>
      <w:r w:rsidRPr="00725441">
        <w:t xml:space="preserve"> or personal storag</w:t>
      </w:r>
      <w:r>
        <w:t xml:space="preserve">e media (e.g. memory sticks). </w:t>
      </w:r>
    </w:p>
    <w:p w14:paraId="79E9C894" w14:textId="777BEBE4" w:rsidR="00725441" w:rsidRDefault="00725441" w:rsidP="00A974E9">
      <w:pPr>
        <w:numPr>
          <w:ilvl w:val="0"/>
          <w:numId w:val="26"/>
        </w:numPr>
      </w:pPr>
      <w:r w:rsidRPr="00725441">
        <w:t xml:space="preserve">Users shall not store credit and debit </w:t>
      </w:r>
      <w:r w:rsidR="00C83A24">
        <w:t>CHD</w:t>
      </w:r>
      <w:r w:rsidRPr="00725441">
        <w:t xml:space="preserve"> on local hard drives, or external or mobile media.</w:t>
      </w:r>
    </w:p>
    <w:p w14:paraId="18C0C0D7" w14:textId="23F8494F" w:rsidR="00C50FE5" w:rsidRDefault="00045EA2" w:rsidP="00A974E9">
      <w:pPr>
        <w:numPr>
          <w:ilvl w:val="0"/>
          <w:numId w:val="26"/>
        </w:numPr>
      </w:pPr>
      <w:r w:rsidRPr="00BF1ACF">
        <w:rPr>
          <w:rFonts w:eastAsia="Arial" w:cs="Arial"/>
        </w:rPr>
        <w:t>Imperial</w:t>
      </w:r>
      <w:r w:rsidRPr="001F7987">
        <w:rPr>
          <w:color w:val="FF0000"/>
        </w:rPr>
        <w:t xml:space="preserve"> </w:t>
      </w:r>
      <w:r w:rsidR="00C50FE5">
        <w:t xml:space="preserve">complies with all legislation, regulations, codes of practice and all other requirements applicable to </w:t>
      </w:r>
      <w:r w:rsidR="0008450D">
        <w:t>payment security activities.</w:t>
      </w:r>
    </w:p>
    <w:p w14:paraId="35B2C150" w14:textId="73ADA4AD" w:rsidR="00C50FE5" w:rsidRDefault="00045EA2" w:rsidP="00A974E9">
      <w:pPr>
        <w:numPr>
          <w:ilvl w:val="0"/>
          <w:numId w:val="26"/>
        </w:numPr>
      </w:pPr>
      <w:r w:rsidRPr="00BF1ACF">
        <w:rPr>
          <w:rFonts w:eastAsia="Arial" w:cs="Arial"/>
        </w:rPr>
        <w:t>Imperial</w:t>
      </w:r>
      <w:r>
        <w:t xml:space="preserve"> </w:t>
      </w:r>
      <w:r w:rsidR="00C50FE5">
        <w:t>provides all resources</w:t>
      </w:r>
      <w:r w:rsidR="00C83A24">
        <w:t xml:space="preserve"> </w:t>
      </w:r>
      <w:r w:rsidR="00C50FE5">
        <w:t xml:space="preserve">inclusive of equipment, trained and competent staff and any other requirements to </w:t>
      </w:r>
      <w:r w:rsidR="0008450D">
        <w:t>ensure that all payment security obligations and objectives are met.</w:t>
      </w:r>
    </w:p>
    <w:p w14:paraId="25AEDF4C" w14:textId="77777777" w:rsidR="00C50FE5" w:rsidRDefault="00045EA2" w:rsidP="00A974E9">
      <w:pPr>
        <w:numPr>
          <w:ilvl w:val="0"/>
          <w:numId w:val="26"/>
        </w:numPr>
      </w:pPr>
      <w:r w:rsidRPr="00BF1ACF">
        <w:rPr>
          <w:rFonts w:eastAsia="Arial" w:cs="Arial"/>
        </w:rPr>
        <w:t>Imperial</w:t>
      </w:r>
      <w:r>
        <w:t xml:space="preserve"> </w:t>
      </w:r>
      <w:r w:rsidR="00C50FE5">
        <w:t xml:space="preserve">ensures that all employees are made aware of their individual obligations in respect of this </w:t>
      </w:r>
      <w:r w:rsidR="0008450D">
        <w:t xml:space="preserve">payment </w:t>
      </w:r>
      <w:r w:rsidR="00C50FE5">
        <w:t>information security policy.</w:t>
      </w:r>
    </w:p>
    <w:p w14:paraId="40B93A28" w14:textId="7AB00D2E" w:rsidR="00A974E9" w:rsidRDefault="00A974E9" w:rsidP="00C50FE5">
      <w:pPr>
        <w:numPr>
          <w:ilvl w:val="0"/>
          <w:numId w:val="26"/>
        </w:numPr>
      </w:pPr>
      <w:r>
        <w:t xml:space="preserve">To ensure </w:t>
      </w:r>
      <w:r w:rsidR="00045EA2" w:rsidRPr="00BF1ACF">
        <w:rPr>
          <w:rFonts w:eastAsia="Arial" w:cs="Arial"/>
        </w:rPr>
        <w:t>Imperial</w:t>
      </w:r>
      <w:r w:rsidR="00045EA2">
        <w:t xml:space="preserve"> </w:t>
      </w:r>
      <w:r w:rsidR="00C50FE5">
        <w:t xml:space="preserve">maintains its awareness for continuous improvement, </w:t>
      </w:r>
      <w:r>
        <w:t>payment security within the organisation</w:t>
      </w:r>
      <w:r w:rsidR="00F402C6">
        <w:t xml:space="preserve"> is regularly reviewed </w:t>
      </w:r>
      <w:r>
        <w:t xml:space="preserve">by </w:t>
      </w:r>
      <w:r w:rsidR="00891773">
        <w:t xml:space="preserve">the </w:t>
      </w:r>
      <w:r w:rsidR="00045EA2" w:rsidRPr="00045EA2">
        <w:rPr>
          <w:rFonts w:eastAsia="Arial" w:cs="Arial"/>
          <w:color w:val="000000"/>
        </w:rPr>
        <w:t xml:space="preserve">Payment Security Committee </w:t>
      </w:r>
      <w:r w:rsidR="00C50FE5">
        <w:t xml:space="preserve">to ensure it remains </w:t>
      </w:r>
      <w:r w:rsidR="00C83A24">
        <w:t>relevant and appropriate for the payment activities taking place.</w:t>
      </w:r>
      <w:r w:rsidR="00C50FE5">
        <w:t xml:space="preserve"> </w:t>
      </w:r>
    </w:p>
    <w:p w14:paraId="1CF8D851" w14:textId="52A11242" w:rsidR="00BF3832" w:rsidRDefault="00045EA2" w:rsidP="00C50FE5">
      <w:pPr>
        <w:numPr>
          <w:ilvl w:val="0"/>
          <w:numId w:val="26"/>
        </w:numPr>
      </w:pPr>
      <w:r w:rsidRPr="00BF1ACF">
        <w:rPr>
          <w:rFonts w:eastAsia="Arial" w:cs="Arial"/>
        </w:rPr>
        <w:t>Imperial</w:t>
      </w:r>
      <w:r>
        <w:rPr>
          <w:rFonts w:eastAsia="Arial" w:cs="Arial"/>
        </w:rPr>
        <w:t>’s</w:t>
      </w:r>
      <w:r>
        <w:t xml:space="preserve"> </w:t>
      </w:r>
      <w:r w:rsidR="00A974E9">
        <w:t xml:space="preserve">payment security activities </w:t>
      </w:r>
      <w:r w:rsidR="00E2455C">
        <w:t>will</w:t>
      </w:r>
      <w:r w:rsidR="00A974E9">
        <w:t xml:space="preserve"> be</w:t>
      </w:r>
      <w:r w:rsidR="00C50FE5">
        <w:t xml:space="preserve"> subject to both internal and</w:t>
      </w:r>
      <w:r w:rsidR="00891773">
        <w:t>/or</w:t>
      </w:r>
      <w:r w:rsidR="00C50FE5">
        <w:t xml:space="preserve"> external audits as appropriate.</w:t>
      </w:r>
    </w:p>
    <w:p w14:paraId="118F4F5B" w14:textId="20150177" w:rsidR="00A974E9" w:rsidRPr="00BF3832" w:rsidRDefault="00045EA2" w:rsidP="00A974E9">
      <w:pPr>
        <w:numPr>
          <w:ilvl w:val="0"/>
          <w:numId w:val="26"/>
        </w:numPr>
      </w:pPr>
      <w:r w:rsidRPr="00BF1ACF">
        <w:rPr>
          <w:rFonts w:eastAsia="Arial" w:cs="Arial"/>
        </w:rPr>
        <w:t>Imperial</w:t>
      </w:r>
      <w:r>
        <w:t xml:space="preserve"> </w:t>
      </w:r>
      <w:r w:rsidR="00A974E9">
        <w:t xml:space="preserve">accepts its responsibility for security as a custodian of </w:t>
      </w:r>
      <w:r w:rsidR="00A974E9">
        <w:br/>
      </w:r>
      <w:r w:rsidR="00361C7E">
        <w:t>CHD</w:t>
      </w:r>
      <w:r w:rsidR="00A974E9" w:rsidRPr="007B6710">
        <w:t xml:space="preserve"> associated with any credit or debit card </w:t>
      </w:r>
      <w:r w:rsidR="00DA77B8" w:rsidRPr="007B6710">
        <w:t>transaction</w:t>
      </w:r>
      <w:r w:rsidR="00DA77B8">
        <w:t xml:space="preserve"> and</w:t>
      </w:r>
      <w:r w:rsidR="00C159C1">
        <w:t xml:space="preserve"> </w:t>
      </w:r>
      <w:r w:rsidR="00A974E9">
        <w:t>will continue to adhere to all applicable payment security controls.</w:t>
      </w:r>
    </w:p>
    <w:p w14:paraId="41E404D0" w14:textId="77777777" w:rsidR="005605CF" w:rsidRPr="005605CF" w:rsidRDefault="005605CF" w:rsidP="005605CF">
      <w:pPr>
        <w:pStyle w:val="Heading1"/>
      </w:pPr>
      <w:bookmarkStart w:id="4" w:name="_Toc198901448"/>
      <w:r>
        <w:lastRenderedPageBreak/>
        <w:t>Document Management</w:t>
      </w:r>
      <w:bookmarkEnd w:id="4"/>
    </w:p>
    <w:p w14:paraId="63998696" w14:textId="68AD6A15" w:rsidR="003D23BF" w:rsidRPr="00623235" w:rsidRDefault="00391112" w:rsidP="004340A7">
      <w:r>
        <w:br/>
      </w:r>
      <w:r w:rsidR="003D23BF">
        <w:t xml:space="preserve">This </w:t>
      </w:r>
      <w:r w:rsidR="00080964">
        <w:t>policy</w:t>
      </w:r>
      <w:r w:rsidR="003D23BF">
        <w:t xml:space="preserve"> is the property of </w:t>
      </w:r>
      <w:r w:rsidR="00045EA2" w:rsidRPr="00BF1ACF">
        <w:rPr>
          <w:rFonts w:eastAsia="Arial" w:cs="Arial"/>
        </w:rPr>
        <w:t>Imperial</w:t>
      </w:r>
      <w:r w:rsidR="00045EA2">
        <w:t xml:space="preserve">. </w:t>
      </w:r>
      <w:r w:rsidR="003D23BF">
        <w:t xml:space="preserve">It is a controlled document which is version numbered reviewed, </w:t>
      </w:r>
      <w:r w:rsidR="001168D1">
        <w:t>maintained,</w:t>
      </w:r>
      <w:r w:rsidR="003D23BF">
        <w:t xml:space="preserve"> and revised as required and updated at least annually.</w:t>
      </w:r>
      <w:r w:rsidR="00045EA2">
        <w:t xml:space="preserve"> </w:t>
      </w:r>
      <w:r w:rsidR="003D23BF">
        <w:t xml:space="preserve">Previous versions of this </w:t>
      </w:r>
      <w:r w:rsidR="00080964">
        <w:t>policy</w:t>
      </w:r>
      <w:r w:rsidR="003D23BF">
        <w:t xml:space="preserve"> will be retained in archive by </w:t>
      </w:r>
      <w:r w:rsidR="00045EA2" w:rsidRPr="00BF1ACF">
        <w:rPr>
          <w:rFonts w:eastAsia="Arial" w:cs="Arial"/>
        </w:rPr>
        <w:t>Imperial</w:t>
      </w:r>
      <w:r w:rsidR="00045EA2">
        <w:t xml:space="preserve"> </w:t>
      </w:r>
      <w:r w:rsidR="003D23BF">
        <w:t>for at least one year.</w:t>
      </w:r>
      <w:r w:rsidR="00045EA2">
        <w:t xml:space="preserve"> </w:t>
      </w:r>
      <w:r w:rsidR="003D23BF">
        <w:t xml:space="preserve">Where this </w:t>
      </w:r>
      <w:r w:rsidR="00080964">
        <w:t>policy</w:t>
      </w:r>
      <w:r w:rsidR="003D23BF">
        <w:t xml:space="preserve"> is printed and distributed within </w:t>
      </w:r>
      <w:r w:rsidR="00045EA2" w:rsidRPr="00BF1ACF">
        <w:rPr>
          <w:rFonts w:eastAsia="Arial" w:cs="Arial"/>
        </w:rPr>
        <w:t>Imperial</w:t>
      </w:r>
      <w:r w:rsidR="00361C7E">
        <w:rPr>
          <w:rFonts w:eastAsia="Arial" w:cs="Arial"/>
        </w:rPr>
        <w:t>,</w:t>
      </w:r>
      <w:r w:rsidR="00045EA2">
        <w:t xml:space="preserve"> </w:t>
      </w:r>
      <w:r w:rsidR="003D23BF">
        <w:t>a list is maintained of all recipients to control amendments and recall of subsequent versions.</w:t>
      </w:r>
      <w:r w:rsidR="00045EA2">
        <w:t xml:space="preserve"> </w:t>
      </w:r>
      <w:r w:rsidR="003D23BF">
        <w:br/>
      </w:r>
    </w:p>
    <w:p w14:paraId="13CD1F55" w14:textId="77777777" w:rsidR="00E12092" w:rsidRPr="00623235" w:rsidRDefault="00E12092" w:rsidP="00E12092">
      <w:pPr>
        <w:pStyle w:val="Heading2"/>
        <w:rPr>
          <w:rFonts w:eastAsia="Verdana"/>
          <w:lang w:val="en-US"/>
        </w:rPr>
      </w:pPr>
      <w:bookmarkStart w:id="5" w:name="_Toc198901449"/>
      <w:r w:rsidRPr="00623235">
        <w:rPr>
          <w:rFonts w:eastAsia="Verdana"/>
          <w:lang w:val="en-US"/>
        </w:rPr>
        <w:t>Document Owner and Approval</w:t>
      </w:r>
      <w:bookmarkEnd w:id="5"/>
    </w:p>
    <w:p w14:paraId="3F37B681" w14:textId="5FCB970C" w:rsidR="00E12092" w:rsidRPr="00623235" w:rsidRDefault="003D23BF" w:rsidP="00E12092">
      <w:pPr>
        <w:rPr>
          <w:lang w:val="en-US"/>
        </w:rPr>
      </w:pPr>
      <w:r>
        <w:rPr>
          <w:lang w:val="en-US"/>
        </w:rPr>
        <w:br/>
      </w:r>
      <w:r w:rsidR="00E12092" w:rsidRPr="00623235">
        <w:rPr>
          <w:lang w:val="en-US"/>
        </w:rPr>
        <w:t xml:space="preserve">The </w:t>
      </w:r>
      <w:r w:rsidR="003D7798" w:rsidRPr="003D7798">
        <w:t xml:space="preserve">Payment Security Committee </w:t>
      </w:r>
      <w:r w:rsidR="00E12092" w:rsidRPr="00623235">
        <w:rPr>
          <w:lang w:val="en-US"/>
        </w:rPr>
        <w:t xml:space="preserve">is the owner of this document and is responsible for ensuring that it is reviewed in line with </w:t>
      </w:r>
      <w:r w:rsidR="00361C7E">
        <w:rPr>
          <w:lang w:val="en-US"/>
        </w:rPr>
        <w:t>Imperial</w:t>
      </w:r>
      <w:r w:rsidR="00E12092" w:rsidRPr="00623235">
        <w:rPr>
          <w:lang w:val="en-US"/>
        </w:rPr>
        <w:t xml:space="preserve">’s review requirements. </w:t>
      </w:r>
      <w:r w:rsidR="003D7798">
        <w:rPr>
          <w:lang w:val="en-US"/>
        </w:rPr>
        <w:t xml:space="preserve">The PCO will be responsible for keeping the document </w:t>
      </w:r>
      <w:r w:rsidR="00265004">
        <w:rPr>
          <w:lang w:val="en-US"/>
        </w:rPr>
        <w:t>up to date</w:t>
      </w:r>
      <w:r w:rsidR="003D7798">
        <w:rPr>
          <w:lang w:val="en-US"/>
        </w:rPr>
        <w:t xml:space="preserve">. </w:t>
      </w:r>
      <w:r w:rsidR="00E12092" w:rsidRPr="00623235">
        <w:rPr>
          <w:lang w:val="en-US"/>
        </w:rPr>
        <w:br/>
      </w:r>
      <w:r w:rsidR="00E12092" w:rsidRPr="00623235">
        <w:rPr>
          <w:lang w:val="en-US"/>
        </w:rPr>
        <w:br/>
        <w:t xml:space="preserve">A current version of this document is available to all relevant members of staff and is published </w:t>
      </w:r>
      <w:r w:rsidR="00045EA2" w:rsidRPr="00DF7473">
        <w:rPr>
          <w:lang w:val="en-US"/>
        </w:rPr>
        <w:t>on Imperial’s website.</w:t>
      </w:r>
      <w:r w:rsidR="00045EA2">
        <w:rPr>
          <w:color w:val="FF0000"/>
          <w:lang w:val="en-US"/>
        </w:rPr>
        <w:t xml:space="preserve"> </w:t>
      </w:r>
    </w:p>
    <w:p w14:paraId="5761364C" w14:textId="77777777" w:rsidR="00E12092" w:rsidRPr="00623235" w:rsidRDefault="00E12092" w:rsidP="00E12092"/>
    <w:p w14:paraId="476CEDBB" w14:textId="77777777" w:rsidR="00E12092" w:rsidRPr="00623235" w:rsidRDefault="00E12092" w:rsidP="00E12092">
      <w:pPr>
        <w:pStyle w:val="Heading2"/>
      </w:pPr>
      <w:bookmarkStart w:id="6" w:name="_Toc198901450"/>
      <w:r w:rsidRPr="00623235">
        <w:t>Change History Record</w:t>
      </w:r>
      <w:bookmarkEnd w:id="6"/>
      <w:r w:rsidRPr="00623235">
        <w:br/>
      </w:r>
    </w:p>
    <w:tbl>
      <w:tblPr>
        <w:tblW w:w="92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4536"/>
        <w:gridCol w:w="1989"/>
        <w:gridCol w:w="1743"/>
      </w:tblGrid>
      <w:tr w:rsidR="00E12092" w:rsidRPr="00623235" w14:paraId="4AED57A4" w14:textId="77777777" w:rsidTr="34613224">
        <w:trPr>
          <w:trHeight w:val="321"/>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8FCE5" w14:textId="77777777" w:rsidR="00E12092" w:rsidRPr="00623235" w:rsidRDefault="00663955" w:rsidP="00E12092">
            <w:pPr>
              <w:spacing w:after="0" w:line="240" w:lineRule="auto"/>
              <w:contextualSpacing/>
              <w:rPr>
                <w:rFonts w:eastAsia="Verdana" w:cs="Verdana"/>
                <w:b/>
                <w:sz w:val="18"/>
                <w:szCs w:val="18"/>
                <w:lang w:val="en-US" w:eastAsia="en-GB"/>
              </w:rPr>
            </w:pPr>
            <w:r>
              <w:rPr>
                <w:rFonts w:eastAsia="Verdana" w:cs="Verdana"/>
                <w:b/>
                <w:sz w:val="18"/>
                <w:szCs w:val="18"/>
                <w:lang w:val="en-US" w:eastAsia="en-GB"/>
              </w:rPr>
              <w:t>Issue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AAE7D" w14:textId="77777777" w:rsidR="00E12092" w:rsidRPr="00623235" w:rsidRDefault="00E12092" w:rsidP="00E12092">
            <w:pPr>
              <w:spacing w:after="0" w:line="240" w:lineRule="auto"/>
              <w:contextualSpacing/>
              <w:rPr>
                <w:rFonts w:eastAsia="Verdana" w:cs="Verdana"/>
                <w:b/>
                <w:sz w:val="18"/>
                <w:szCs w:val="18"/>
                <w:lang w:val="en-US" w:eastAsia="en-GB"/>
              </w:rPr>
            </w:pPr>
            <w:r w:rsidRPr="00623235">
              <w:rPr>
                <w:rFonts w:eastAsia="Verdana" w:cs="Verdana"/>
                <w:b/>
                <w:sz w:val="18"/>
                <w:szCs w:val="18"/>
                <w:lang w:val="en-US" w:eastAsia="en-GB"/>
              </w:rPr>
              <w:t>Description of Change</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4CE53" w14:textId="77777777" w:rsidR="00E12092" w:rsidRPr="00623235" w:rsidRDefault="00E12092" w:rsidP="00E12092">
            <w:pPr>
              <w:spacing w:after="0" w:line="240" w:lineRule="auto"/>
              <w:contextualSpacing/>
              <w:rPr>
                <w:rFonts w:eastAsia="Verdana" w:cs="Verdana"/>
                <w:b/>
                <w:sz w:val="18"/>
                <w:szCs w:val="18"/>
                <w:lang w:val="en-US" w:eastAsia="en-GB"/>
              </w:rPr>
            </w:pPr>
            <w:r w:rsidRPr="00623235">
              <w:rPr>
                <w:rFonts w:eastAsia="Verdana" w:cs="Verdana"/>
                <w:b/>
                <w:sz w:val="18"/>
                <w:szCs w:val="18"/>
                <w:lang w:val="en-US" w:eastAsia="en-GB"/>
              </w:rPr>
              <w:t xml:space="preserve">Approved by </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C029E" w14:textId="77777777" w:rsidR="00E12092" w:rsidRPr="00623235" w:rsidRDefault="00E12092" w:rsidP="00E12092">
            <w:pPr>
              <w:spacing w:after="0" w:line="240" w:lineRule="auto"/>
              <w:contextualSpacing/>
              <w:rPr>
                <w:rFonts w:eastAsia="Verdana" w:cs="Verdana"/>
                <w:b/>
                <w:sz w:val="18"/>
                <w:szCs w:val="18"/>
                <w:lang w:val="en-US" w:eastAsia="en-GB"/>
              </w:rPr>
            </w:pPr>
            <w:r w:rsidRPr="00623235">
              <w:rPr>
                <w:rFonts w:eastAsia="Verdana" w:cs="Verdana"/>
                <w:b/>
                <w:sz w:val="18"/>
                <w:szCs w:val="18"/>
                <w:lang w:val="en-US" w:eastAsia="en-GB"/>
              </w:rPr>
              <w:t>Date of Issue</w:t>
            </w:r>
          </w:p>
        </w:tc>
      </w:tr>
      <w:tr w:rsidR="00E12092" w:rsidRPr="00623235" w14:paraId="6814DA2F" w14:textId="77777777" w:rsidTr="3461322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80C51" w14:textId="086F81DC" w:rsidR="00E12092" w:rsidRPr="00E34E94" w:rsidRDefault="00E34E94" w:rsidP="00E12092">
            <w:pPr>
              <w:spacing w:after="0" w:line="240" w:lineRule="auto"/>
              <w:contextualSpacing/>
              <w:rPr>
                <w:rFonts w:eastAsia="Verdana" w:cs="Verdana"/>
                <w:sz w:val="12"/>
                <w:szCs w:val="20"/>
                <w:lang w:val="en-US" w:eastAsia="en-GB"/>
              </w:rPr>
            </w:pPr>
            <w:r w:rsidRPr="00E34E94">
              <w:rPr>
                <w:rFonts w:eastAsia="Verdana" w:cs="Verdana"/>
                <w:sz w:val="12"/>
                <w:szCs w:val="20"/>
                <w:lang w:val="en-US" w:eastAsia="en-GB"/>
              </w:rPr>
              <w:t>1</w:t>
            </w:r>
            <w:r>
              <w:rPr>
                <w:rFonts w:eastAsia="Verdana" w:cs="Verdana"/>
                <w:sz w:val="12"/>
                <w:szCs w:val="20"/>
                <w:lang w:val="en-US" w:eastAsia="en-GB"/>
              </w:rPr>
              <w:t>.0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D3BD1" w14:textId="34F137CE" w:rsidR="00E12092" w:rsidRPr="00E34E94" w:rsidRDefault="00E34E94" w:rsidP="00E34E94">
            <w:pPr>
              <w:spacing w:after="0" w:line="240" w:lineRule="auto"/>
              <w:contextualSpacing/>
              <w:rPr>
                <w:rFonts w:eastAsia="Verdana" w:cs="Verdana"/>
                <w:sz w:val="12"/>
                <w:szCs w:val="20"/>
                <w:lang w:val="en-US" w:eastAsia="en-GB"/>
              </w:rPr>
            </w:pPr>
            <w:r w:rsidRPr="00E34E94">
              <w:rPr>
                <w:rFonts w:eastAsia="Verdana" w:cs="Verdana"/>
                <w:sz w:val="12"/>
                <w:szCs w:val="20"/>
                <w:lang w:val="en-US" w:eastAsia="en-GB"/>
              </w:rPr>
              <w:t>PSMSPaySecPolicy Introduction</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CAA32" w14:textId="53C3AA9A" w:rsidR="00E12092" w:rsidRPr="00E34E94" w:rsidRDefault="00E34E94" w:rsidP="00E12092">
            <w:pPr>
              <w:spacing w:after="0" w:line="240" w:lineRule="auto"/>
              <w:contextualSpacing/>
              <w:rPr>
                <w:rFonts w:eastAsia="Verdana" w:cs="Verdana"/>
                <w:sz w:val="12"/>
                <w:szCs w:val="20"/>
                <w:lang w:val="en-US" w:eastAsia="en-GB"/>
              </w:rPr>
            </w:pPr>
            <w:r w:rsidRPr="00E34E94">
              <w:rPr>
                <w:rFonts w:eastAsia="Verdana" w:cs="Verdana"/>
                <w:sz w:val="12"/>
                <w:szCs w:val="20"/>
                <w:lang w:val="en-US" w:eastAsia="en-GB"/>
              </w:rPr>
              <w:t>Payment Security Committee</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A4850" w14:textId="3BC9B13E" w:rsidR="00E12092" w:rsidRPr="00E34E94" w:rsidRDefault="00E34E94" w:rsidP="00E12092">
            <w:pPr>
              <w:spacing w:after="0" w:line="240" w:lineRule="auto"/>
              <w:contextualSpacing/>
              <w:rPr>
                <w:rFonts w:eastAsia="Verdana" w:cs="Verdana"/>
                <w:sz w:val="12"/>
                <w:szCs w:val="20"/>
                <w:lang w:val="en-US" w:eastAsia="en-GB"/>
              </w:rPr>
            </w:pPr>
            <w:r>
              <w:rPr>
                <w:rFonts w:eastAsia="Verdana" w:cs="Verdana"/>
                <w:sz w:val="12"/>
                <w:szCs w:val="20"/>
                <w:lang w:val="en-US" w:eastAsia="en-GB"/>
              </w:rPr>
              <w:t>12/05/2021</w:t>
            </w:r>
          </w:p>
        </w:tc>
      </w:tr>
      <w:tr w:rsidR="00E12092" w:rsidRPr="00623235" w14:paraId="7BB5FCFF" w14:textId="77777777" w:rsidTr="3461322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334F7" w14:textId="7942B054" w:rsidR="00E12092" w:rsidRPr="00E34E94" w:rsidRDefault="003D7798" w:rsidP="00E12092">
            <w:pPr>
              <w:spacing w:after="0" w:line="240" w:lineRule="auto"/>
              <w:contextualSpacing/>
              <w:jc w:val="both"/>
              <w:rPr>
                <w:rFonts w:eastAsia="Arial" w:cs="Arial"/>
                <w:sz w:val="12"/>
                <w:szCs w:val="20"/>
                <w:lang w:val="en-US" w:eastAsia="en-GB"/>
              </w:rPr>
            </w:pPr>
            <w:r>
              <w:rPr>
                <w:rFonts w:eastAsia="Arial" w:cs="Arial"/>
                <w:sz w:val="12"/>
                <w:szCs w:val="20"/>
                <w:lang w:val="en-US" w:eastAsia="en-GB"/>
              </w:rPr>
              <w:t>1.1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38CD2" w14:textId="75197048" w:rsidR="00E12092" w:rsidRPr="00F01938" w:rsidRDefault="003D7798" w:rsidP="00E12092">
            <w:pPr>
              <w:spacing w:after="0" w:line="240" w:lineRule="auto"/>
              <w:contextualSpacing/>
              <w:rPr>
                <w:rFonts w:eastAsia="Verdana" w:cs="Verdana"/>
                <w:sz w:val="12"/>
                <w:szCs w:val="20"/>
                <w:lang w:val="en-US" w:eastAsia="en-GB"/>
              </w:rPr>
            </w:pPr>
            <w:r w:rsidRPr="00F01938">
              <w:rPr>
                <w:rFonts w:eastAsia="Verdana" w:cs="Verdana"/>
                <w:sz w:val="12"/>
                <w:szCs w:val="20"/>
                <w:lang w:val="en-US" w:eastAsia="en-GB"/>
              </w:rPr>
              <w:t>Review by ISA</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E2AC2" w14:textId="7A1E63A8" w:rsidR="00E12092" w:rsidRPr="00E34E94" w:rsidRDefault="003D7798" w:rsidP="00E12092">
            <w:pPr>
              <w:spacing w:after="0" w:line="240" w:lineRule="auto"/>
              <w:contextualSpacing/>
              <w:jc w:val="both"/>
              <w:rPr>
                <w:rFonts w:eastAsia="Arial" w:cs="Arial"/>
                <w:sz w:val="12"/>
                <w:szCs w:val="20"/>
                <w:lang w:val="en-US" w:eastAsia="en-GB"/>
              </w:rPr>
            </w:pPr>
            <w:r>
              <w:rPr>
                <w:rFonts w:eastAsia="Arial" w:cs="Arial"/>
                <w:sz w:val="12"/>
                <w:szCs w:val="20"/>
                <w:lang w:val="en-US" w:eastAsia="en-GB"/>
              </w:rPr>
              <w:t>Payment Security Committee</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B367B" w14:textId="77777777" w:rsidR="00E12092" w:rsidRPr="00E34E94" w:rsidRDefault="00E12092" w:rsidP="00E12092">
            <w:pPr>
              <w:spacing w:after="0" w:line="240" w:lineRule="auto"/>
              <w:contextualSpacing/>
              <w:jc w:val="both"/>
              <w:rPr>
                <w:rFonts w:eastAsia="Arial" w:cs="Arial"/>
                <w:sz w:val="12"/>
                <w:szCs w:val="20"/>
                <w:lang w:val="en-US" w:eastAsia="en-GB"/>
              </w:rPr>
            </w:pPr>
          </w:p>
        </w:tc>
      </w:tr>
      <w:tr w:rsidR="00E12092" w:rsidRPr="00623235" w14:paraId="0D8FCF67" w14:textId="77777777" w:rsidTr="3461322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7CD8F" w14:textId="141F235E" w:rsidR="00E12092" w:rsidRPr="00E34E94" w:rsidRDefault="0005354A" w:rsidP="00E12092">
            <w:pPr>
              <w:spacing w:after="0" w:line="240" w:lineRule="auto"/>
              <w:contextualSpacing/>
              <w:jc w:val="both"/>
              <w:rPr>
                <w:rFonts w:eastAsia="Arial" w:cs="Arial"/>
                <w:sz w:val="12"/>
                <w:szCs w:val="20"/>
                <w:lang w:val="en-US" w:eastAsia="en-GB"/>
              </w:rPr>
            </w:pPr>
            <w:r>
              <w:rPr>
                <w:rFonts w:eastAsia="Arial" w:cs="Arial"/>
                <w:sz w:val="12"/>
                <w:szCs w:val="20"/>
                <w:lang w:val="en-US" w:eastAsia="en-GB"/>
              </w:rPr>
              <w:t>1.2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59170" w14:textId="206E8506" w:rsidR="00E12092" w:rsidRPr="005F0461" w:rsidRDefault="4BA927EC" w:rsidP="00F01938">
            <w:pPr>
              <w:spacing w:after="0" w:line="240" w:lineRule="auto"/>
              <w:jc w:val="both"/>
              <w:rPr>
                <w:rStyle w:val="normaltextrun"/>
                <w:rFonts w:cs="Segoe UI"/>
                <w:sz w:val="14"/>
                <w:szCs w:val="14"/>
                <w:lang w:val="en-US"/>
              </w:rPr>
            </w:pPr>
            <w:r w:rsidRPr="005F0461">
              <w:rPr>
                <w:rStyle w:val="normaltextrun"/>
                <w:rFonts w:cs="Segoe UI"/>
                <w:sz w:val="12"/>
                <w:szCs w:val="12"/>
                <w:lang w:val="en-US"/>
              </w:rPr>
              <w:t>Minor wording revisions</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928CB" w14:textId="6887DED1" w:rsidR="00E12092" w:rsidRPr="00E34E94" w:rsidRDefault="0005354A" w:rsidP="00E12092">
            <w:pPr>
              <w:spacing w:after="0" w:line="240" w:lineRule="auto"/>
              <w:contextualSpacing/>
              <w:jc w:val="both"/>
              <w:rPr>
                <w:rFonts w:eastAsia="Arial" w:cs="Arial"/>
                <w:sz w:val="12"/>
                <w:szCs w:val="20"/>
                <w:lang w:val="en-US" w:eastAsia="en-GB"/>
              </w:rPr>
            </w:pPr>
            <w:r>
              <w:rPr>
                <w:rFonts w:eastAsia="Arial" w:cs="Arial"/>
                <w:sz w:val="12"/>
                <w:szCs w:val="20"/>
                <w:lang w:val="en-US" w:eastAsia="en-GB"/>
              </w:rPr>
              <w:t>Payment Security Committee</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EA294" w14:textId="4AF1EC9A" w:rsidR="00E12092" w:rsidRPr="00E34E94" w:rsidRDefault="15429781" w:rsidP="00E12092">
            <w:pPr>
              <w:spacing w:after="0" w:line="240" w:lineRule="auto"/>
              <w:contextualSpacing/>
              <w:jc w:val="both"/>
              <w:rPr>
                <w:rFonts w:eastAsia="Arial" w:cs="Arial"/>
                <w:sz w:val="12"/>
                <w:szCs w:val="12"/>
                <w:lang w:val="en-US" w:eastAsia="en-GB"/>
              </w:rPr>
            </w:pPr>
            <w:r w:rsidRPr="34613224">
              <w:rPr>
                <w:rFonts w:eastAsia="Arial" w:cs="Arial"/>
                <w:sz w:val="12"/>
                <w:szCs w:val="12"/>
                <w:lang w:val="en-US" w:eastAsia="en-GB"/>
              </w:rPr>
              <w:t>23/05/2025</w:t>
            </w:r>
          </w:p>
        </w:tc>
      </w:tr>
    </w:tbl>
    <w:p w14:paraId="61145F68" w14:textId="77777777" w:rsidR="00E12092" w:rsidRPr="00623235" w:rsidRDefault="00E12092" w:rsidP="00E12092"/>
    <w:p w14:paraId="659D1370" w14:textId="77777777" w:rsidR="00161096" w:rsidRPr="00623235" w:rsidRDefault="00161096"/>
    <w:sectPr w:rsidR="00161096" w:rsidRPr="00623235" w:rsidSect="00EE65DB">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7F45B" w14:textId="77777777" w:rsidR="008B2562" w:rsidRDefault="008B2562" w:rsidP="00EE65DB">
      <w:pPr>
        <w:spacing w:after="0" w:line="240" w:lineRule="auto"/>
      </w:pPr>
      <w:r>
        <w:separator/>
      </w:r>
    </w:p>
  </w:endnote>
  <w:endnote w:type="continuationSeparator" w:id="0">
    <w:p w14:paraId="7C370E6A" w14:textId="77777777" w:rsidR="008B2562" w:rsidRDefault="008B2562" w:rsidP="00EE6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4613224" w14:paraId="2965150D" w14:textId="77777777" w:rsidTr="00F01938">
      <w:trPr>
        <w:trHeight w:val="300"/>
      </w:trPr>
      <w:tc>
        <w:tcPr>
          <w:tcW w:w="3005" w:type="dxa"/>
        </w:tcPr>
        <w:p w14:paraId="0F786F23" w14:textId="27778503" w:rsidR="34613224" w:rsidRDefault="34613224" w:rsidP="00F01938">
          <w:pPr>
            <w:pStyle w:val="Header"/>
            <w:ind w:left="-115"/>
          </w:pPr>
        </w:p>
      </w:tc>
      <w:tc>
        <w:tcPr>
          <w:tcW w:w="3005" w:type="dxa"/>
        </w:tcPr>
        <w:p w14:paraId="0B12B5AB" w14:textId="000554E5" w:rsidR="34613224" w:rsidRDefault="34613224" w:rsidP="00F01938">
          <w:pPr>
            <w:pStyle w:val="Header"/>
            <w:jc w:val="center"/>
          </w:pPr>
        </w:p>
      </w:tc>
      <w:tc>
        <w:tcPr>
          <w:tcW w:w="3005" w:type="dxa"/>
        </w:tcPr>
        <w:p w14:paraId="7611452E" w14:textId="37CD4742" w:rsidR="34613224" w:rsidRDefault="34613224" w:rsidP="00F01938">
          <w:pPr>
            <w:pStyle w:val="Header"/>
            <w:ind w:right="-115"/>
            <w:jc w:val="right"/>
          </w:pPr>
        </w:p>
      </w:tc>
    </w:tr>
  </w:tbl>
  <w:p w14:paraId="7E2B69C2" w14:textId="55BA9607" w:rsidR="34613224" w:rsidRDefault="34613224" w:rsidP="00F01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4613224" w14:paraId="79020FB8" w14:textId="77777777" w:rsidTr="00F01938">
      <w:trPr>
        <w:trHeight w:val="300"/>
      </w:trPr>
      <w:tc>
        <w:tcPr>
          <w:tcW w:w="3005" w:type="dxa"/>
        </w:tcPr>
        <w:p w14:paraId="592C084D" w14:textId="3217B725" w:rsidR="34613224" w:rsidRDefault="34613224" w:rsidP="00F01938">
          <w:pPr>
            <w:pStyle w:val="Header"/>
            <w:ind w:left="-115"/>
          </w:pPr>
        </w:p>
      </w:tc>
      <w:tc>
        <w:tcPr>
          <w:tcW w:w="3005" w:type="dxa"/>
        </w:tcPr>
        <w:p w14:paraId="33C8731D" w14:textId="06C43475" w:rsidR="34613224" w:rsidRDefault="34613224" w:rsidP="00F01938">
          <w:pPr>
            <w:pStyle w:val="Header"/>
            <w:jc w:val="center"/>
          </w:pPr>
        </w:p>
      </w:tc>
      <w:tc>
        <w:tcPr>
          <w:tcW w:w="3005" w:type="dxa"/>
        </w:tcPr>
        <w:p w14:paraId="0FCEBF27" w14:textId="3D4C5552" w:rsidR="34613224" w:rsidRDefault="34613224" w:rsidP="00F01938">
          <w:pPr>
            <w:pStyle w:val="Header"/>
            <w:ind w:right="-115"/>
            <w:jc w:val="right"/>
          </w:pPr>
        </w:p>
      </w:tc>
    </w:tr>
  </w:tbl>
  <w:p w14:paraId="2FEE5539" w14:textId="4C33A0DA" w:rsidR="34613224" w:rsidRDefault="34613224" w:rsidP="00F01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398A7" w14:textId="77777777" w:rsidR="008B2562" w:rsidRDefault="008B2562" w:rsidP="00EE65DB">
      <w:pPr>
        <w:spacing w:after="0" w:line="240" w:lineRule="auto"/>
      </w:pPr>
      <w:r>
        <w:separator/>
      </w:r>
    </w:p>
  </w:footnote>
  <w:footnote w:type="continuationSeparator" w:id="0">
    <w:p w14:paraId="4E0951A1" w14:textId="77777777" w:rsidR="008B2562" w:rsidRDefault="008B2562" w:rsidP="00EE6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82" w:type="pct"/>
      <w:tblInd w:w="-743" w:type="dxa"/>
      <w:tblLook w:val="0000" w:firstRow="0" w:lastRow="0" w:firstColumn="0" w:lastColumn="0" w:noHBand="0" w:noVBand="0"/>
    </w:tblPr>
    <w:tblGrid>
      <w:gridCol w:w="1108"/>
      <w:gridCol w:w="7201"/>
      <w:gridCol w:w="2490"/>
    </w:tblGrid>
    <w:tr w:rsidR="00896450" w:rsidRPr="00C42D65" w14:paraId="6C92712C" w14:textId="77777777" w:rsidTr="34613224">
      <w:trPr>
        <w:trHeight w:val="1307"/>
      </w:trPr>
      <w:tc>
        <w:tcPr>
          <w:tcW w:w="513" w:type="pct"/>
          <w:vAlign w:val="center"/>
        </w:tcPr>
        <w:p w14:paraId="68E08C85" w14:textId="77777777" w:rsidR="00896450" w:rsidRPr="00EE65DB" w:rsidRDefault="00896450" w:rsidP="00C029CC">
          <w:pPr>
            <w:tabs>
              <w:tab w:val="center" w:pos="4513"/>
              <w:tab w:val="right" w:pos="9026"/>
            </w:tabs>
            <w:suppressAutoHyphens/>
            <w:spacing w:after="0" w:line="240" w:lineRule="auto"/>
            <w:rPr>
              <w:rFonts w:eastAsia="Times New Roman"/>
              <w:sz w:val="36"/>
              <w:szCs w:val="36"/>
              <w:lang w:eastAsia="ar-SA"/>
            </w:rPr>
          </w:pPr>
        </w:p>
      </w:tc>
      <w:tc>
        <w:tcPr>
          <w:tcW w:w="3334" w:type="pct"/>
          <w:shd w:val="clear" w:color="auto" w:fill="auto"/>
          <w:vAlign w:val="center"/>
        </w:tcPr>
        <w:p w14:paraId="097BC9EC" w14:textId="53CE5EB9" w:rsidR="00896450" w:rsidRPr="00623235" w:rsidRDefault="00782B2D" w:rsidP="006959AF">
          <w:pPr>
            <w:tabs>
              <w:tab w:val="center" w:pos="4513"/>
              <w:tab w:val="right" w:pos="9026"/>
            </w:tabs>
            <w:suppressAutoHyphens/>
            <w:spacing w:after="0" w:line="240" w:lineRule="auto"/>
            <w:rPr>
              <w:rFonts w:eastAsia="Times New Roman"/>
              <w:sz w:val="32"/>
              <w:szCs w:val="32"/>
              <w:lang w:eastAsia="ar-SA"/>
            </w:rPr>
          </w:pPr>
          <w:r>
            <w:rPr>
              <w:rFonts w:eastAsia="Times New Roman"/>
              <w:b/>
              <w:sz w:val="28"/>
              <w:szCs w:val="32"/>
              <w:lang w:eastAsia="ar-SA"/>
            </w:rPr>
            <w:t>PSMS</w:t>
          </w:r>
          <w:r w:rsidR="00896450" w:rsidRPr="00BF1ACF">
            <w:rPr>
              <w:rFonts w:eastAsia="Times New Roman"/>
              <w:b/>
              <w:sz w:val="28"/>
              <w:szCs w:val="32"/>
              <w:lang w:eastAsia="ar-SA"/>
            </w:rPr>
            <w:t xml:space="preserve"> </w:t>
          </w:r>
          <w:r w:rsidR="00896450" w:rsidRPr="00BF1ACF">
            <w:rPr>
              <w:rFonts w:eastAsia="Times New Roman"/>
              <w:b/>
              <w:sz w:val="28"/>
              <w:szCs w:val="32"/>
              <w:lang w:eastAsia="ar-SA"/>
            </w:rPr>
            <w:br/>
          </w:r>
          <w:r w:rsidR="006959AF" w:rsidRPr="00586403">
            <w:rPr>
              <w:rFonts w:eastAsia="Times New Roman"/>
              <w:b/>
              <w:sz w:val="24"/>
              <w:szCs w:val="32"/>
              <w:lang w:eastAsia="ar-SA"/>
            </w:rPr>
            <w:t>Payment Information Security Policy</w:t>
          </w:r>
        </w:p>
      </w:tc>
      <w:tc>
        <w:tcPr>
          <w:tcW w:w="1154" w:type="pct"/>
        </w:tcPr>
        <w:p w14:paraId="6CFE2305" w14:textId="568293F0" w:rsidR="00896450" w:rsidRPr="00964686" w:rsidRDefault="00896450" w:rsidP="00E34E94">
          <w:pPr>
            <w:rPr>
              <w:sz w:val="14"/>
              <w:szCs w:val="14"/>
            </w:rPr>
          </w:pPr>
          <w:r>
            <w:br/>
          </w:r>
          <w:r w:rsidR="34613224" w:rsidRPr="34613224">
            <w:rPr>
              <w:b/>
              <w:bCs/>
              <w:sz w:val="14"/>
              <w:szCs w:val="14"/>
              <w:lang w:eastAsia="ar-SA"/>
            </w:rPr>
            <w:t>Reference:</w:t>
          </w:r>
          <w:r w:rsidR="34613224" w:rsidRPr="34613224">
            <w:rPr>
              <w:sz w:val="14"/>
              <w:szCs w:val="14"/>
              <w:lang w:eastAsia="ar-SA"/>
            </w:rPr>
            <w:t xml:space="preserve"> PSMSPaySecPolicy</w:t>
          </w:r>
          <w:r>
            <w:br/>
          </w:r>
          <w:r w:rsidR="34613224" w:rsidRPr="34613224">
            <w:rPr>
              <w:b/>
              <w:bCs/>
              <w:sz w:val="14"/>
              <w:szCs w:val="14"/>
              <w:lang w:eastAsia="ar-SA"/>
            </w:rPr>
            <w:t>Issue:</w:t>
          </w:r>
          <w:r w:rsidR="34613224" w:rsidRPr="34613224">
            <w:rPr>
              <w:sz w:val="14"/>
              <w:szCs w:val="14"/>
              <w:lang w:eastAsia="ar-SA"/>
            </w:rPr>
            <w:t xml:space="preserve"> 1.2</w:t>
          </w:r>
          <w:r>
            <w:br/>
          </w:r>
          <w:r w:rsidR="34613224" w:rsidRPr="34613224">
            <w:rPr>
              <w:b/>
              <w:bCs/>
              <w:sz w:val="14"/>
              <w:szCs w:val="14"/>
              <w:lang w:eastAsia="ar-SA"/>
            </w:rPr>
            <w:t xml:space="preserve">Issue Date: </w:t>
          </w:r>
          <w:r w:rsidR="34613224" w:rsidRPr="34613224">
            <w:rPr>
              <w:sz w:val="14"/>
              <w:szCs w:val="14"/>
              <w:lang w:eastAsia="ar-SA"/>
            </w:rPr>
            <w:t>23/05/2025</w:t>
          </w:r>
          <w:r>
            <w:br/>
          </w:r>
          <w:r w:rsidR="34613224" w:rsidRPr="34613224">
            <w:rPr>
              <w:b/>
              <w:bCs/>
              <w:sz w:val="14"/>
              <w:szCs w:val="14"/>
            </w:rPr>
            <w:t>Page</w:t>
          </w:r>
          <w:r w:rsidR="34613224" w:rsidRPr="34613224">
            <w:rPr>
              <w:sz w:val="14"/>
              <w:szCs w:val="14"/>
            </w:rPr>
            <w:t xml:space="preserve"> </w:t>
          </w:r>
          <w:r w:rsidRPr="34613224">
            <w:rPr>
              <w:noProof/>
              <w:sz w:val="14"/>
              <w:szCs w:val="14"/>
            </w:rPr>
            <w:fldChar w:fldCharType="begin"/>
          </w:r>
          <w:r w:rsidRPr="34613224">
            <w:rPr>
              <w:sz w:val="14"/>
              <w:szCs w:val="14"/>
            </w:rPr>
            <w:instrText xml:space="preserve"> PAGE </w:instrText>
          </w:r>
          <w:r w:rsidRPr="34613224">
            <w:rPr>
              <w:sz w:val="14"/>
              <w:szCs w:val="14"/>
            </w:rPr>
            <w:fldChar w:fldCharType="separate"/>
          </w:r>
          <w:r w:rsidR="34613224" w:rsidRPr="34613224">
            <w:rPr>
              <w:noProof/>
              <w:sz w:val="14"/>
              <w:szCs w:val="14"/>
            </w:rPr>
            <w:t>3</w:t>
          </w:r>
          <w:r w:rsidRPr="34613224">
            <w:rPr>
              <w:noProof/>
              <w:sz w:val="14"/>
              <w:szCs w:val="14"/>
            </w:rPr>
            <w:fldChar w:fldCharType="end"/>
          </w:r>
          <w:r w:rsidR="34613224" w:rsidRPr="34613224">
            <w:rPr>
              <w:sz w:val="14"/>
              <w:szCs w:val="14"/>
            </w:rPr>
            <w:t xml:space="preserve"> of </w:t>
          </w:r>
          <w:r w:rsidRPr="34613224">
            <w:rPr>
              <w:noProof/>
              <w:sz w:val="14"/>
              <w:szCs w:val="14"/>
            </w:rPr>
            <w:fldChar w:fldCharType="begin"/>
          </w:r>
          <w:r w:rsidRPr="34613224">
            <w:rPr>
              <w:sz w:val="14"/>
              <w:szCs w:val="14"/>
            </w:rPr>
            <w:instrText xml:space="preserve"> NUMPAGES  </w:instrText>
          </w:r>
          <w:r w:rsidRPr="34613224">
            <w:rPr>
              <w:sz w:val="14"/>
              <w:szCs w:val="14"/>
            </w:rPr>
            <w:fldChar w:fldCharType="separate"/>
          </w:r>
          <w:r w:rsidR="34613224" w:rsidRPr="34613224">
            <w:rPr>
              <w:noProof/>
              <w:sz w:val="14"/>
              <w:szCs w:val="14"/>
            </w:rPr>
            <w:t>5</w:t>
          </w:r>
          <w:r w:rsidRPr="34613224">
            <w:rPr>
              <w:noProof/>
              <w:sz w:val="14"/>
              <w:szCs w:val="14"/>
            </w:rPr>
            <w:fldChar w:fldCharType="end"/>
          </w:r>
        </w:p>
      </w:tc>
    </w:tr>
  </w:tbl>
  <w:p w14:paraId="490C96A6" w14:textId="77777777" w:rsidR="00EE65DB" w:rsidRDefault="00EE6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4613224" w14:paraId="2E3F5785" w14:textId="77777777" w:rsidTr="00F01938">
      <w:trPr>
        <w:trHeight w:val="300"/>
      </w:trPr>
      <w:tc>
        <w:tcPr>
          <w:tcW w:w="3005" w:type="dxa"/>
        </w:tcPr>
        <w:p w14:paraId="6A296CFA" w14:textId="75320862" w:rsidR="34613224" w:rsidRDefault="34613224" w:rsidP="00F01938">
          <w:pPr>
            <w:pStyle w:val="Header"/>
            <w:ind w:left="-115"/>
          </w:pPr>
        </w:p>
      </w:tc>
      <w:tc>
        <w:tcPr>
          <w:tcW w:w="3005" w:type="dxa"/>
        </w:tcPr>
        <w:p w14:paraId="6CA178EC" w14:textId="0411A40F" w:rsidR="34613224" w:rsidRDefault="34613224" w:rsidP="00F01938">
          <w:pPr>
            <w:pStyle w:val="Header"/>
            <w:jc w:val="center"/>
          </w:pPr>
        </w:p>
      </w:tc>
      <w:tc>
        <w:tcPr>
          <w:tcW w:w="3005" w:type="dxa"/>
        </w:tcPr>
        <w:p w14:paraId="3ED444F7" w14:textId="68742D2E" w:rsidR="34613224" w:rsidRDefault="34613224" w:rsidP="00F01938">
          <w:pPr>
            <w:pStyle w:val="Header"/>
            <w:ind w:right="-115"/>
            <w:jc w:val="right"/>
          </w:pPr>
        </w:p>
      </w:tc>
    </w:tr>
  </w:tbl>
  <w:p w14:paraId="0CED63B4" w14:textId="23D6B9CD" w:rsidR="34613224" w:rsidRDefault="34613224" w:rsidP="00F01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5F246F2"/>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085629AC"/>
    <w:lvl w:ilvl="0">
      <w:start w:val="1"/>
      <w:numFmt w:val="decimal"/>
      <w:pStyle w:val="ListNumber"/>
      <w:lvlText w:val="%1."/>
      <w:lvlJc w:val="left"/>
      <w:pPr>
        <w:tabs>
          <w:tab w:val="num" w:pos="360"/>
        </w:tabs>
        <w:ind w:left="360" w:hanging="360"/>
      </w:pPr>
    </w:lvl>
  </w:abstractNum>
  <w:abstractNum w:abstractNumId="2" w15:restartNumberingAfterBreak="0">
    <w:nsid w:val="02093F53"/>
    <w:multiLevelType w:val="hybridMultilevel"/>
    <w:tmpl w:val="07A47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6C03DB"/>
    <w:multiLevelType w:val="hybridMultilevel"/>
    <w:tmpl w:val="A9443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2A433A"/>
    <w:multiLevelType w:val="hybridMultilevel"/>
    <w:tmpl w:val="A38E1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8B58F9"/>
    <w:multiLevelType w:val="hybridMultilevel"/>
    <w:tmpl w:val="0FB02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96B76"/>
    <w:multiLevelType w:val="hybridMultilevel"/>
    <w:tmpl w:val="DD70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7B5B8B"/>
    <w:multiLevelType w:val="hybridMultilevel"/>
    <w:tmpl w:val="CCD24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70D4C"/>
    <w:multiLevelType w:val="hybridMultilevel"/>
    <w:tmpl w:val="44BA1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A7258"/>
    <w:multiLevelType w:val="hybridMultilevel"/>
    <w:tmpl w:val="BA6A2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E266B1"/>
    <w:multiLevelType w:val="hybridMultilevel"/>
    <w:tmpl w:val="C9B0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75E3A"/>
    <w:multiLevelType w:val="multilevel"/>
    <w:tmpl w:val="30A0B890"/>
    <w:lvl w:ilvl="0">
      <w:start w:val="1"/>
      <w:numFmt w:val="decimal"/>
      <w:lvlText w:val="%1."/>
      <w:lvlJc w:val="left"/>
      <w:pPr>
        <w:ind w:left="720" w:hanging="360"/>
      </w:pPr>
      <w:rPr>
        <w:rFonts w:ascii="Verdana" w:eastAsia="Verdana" w:hAnsi="Verdana" w:cs="Verdana"/>
        <w:b/>
        <w:sz w:val="20"/>
        <w:szCs w:val="20"/>
      </w:rPr>
    </w:lvl>
    <w:lvl w:ilvl="1">
      <w:start w:val="1"/>
      <w:numFmt w:val="decimal"/>
      <w:lvlText w:val="%1.%2"/>
      <w:lvlJc w:val="left"/>
      <w:pPr>
        <w:ind w:left="1287" w:hanging="720"/>
      </w:pPr>
    </w:lvl>
    <w:lvl w:ilvl="2">
      <w:start w:val="1"/>
      <w:numFmt w:val="decimal"/>
      <w:lvlText w:val="%1.%2.%3"/>
      <w:lvlJc w:val="left"/>
      <w:pPr>
        <w:ind w:left="1494" w:hanging="720"/>
      </w:pPr>
    </w:lvl>
    <w:lvl w:ilvl="3">
      <w:start w:val="1"/>
      <w:numFmt w:val="decimal"/>
      <w:lvlText w:val="%1.%2.%3.%4"/>
      <w:lvlJc w:val="left"/>
      <w:pPr>
        <w:ind w:left="2061" w:hanging="1080"/>
      </w:pPr>
    </w:lvl>
    <w:lvl w:ilvl="4">
      <w:start w:val="1"/>
      <w:numFmt w:val="decimal"/>
      <w:lvlText w:val="%1.%2.%3.%4.%5"/>
      <w:lvlJc w:val="left"/>
      <w:pPr>
        <w:ind w:left="2628" w:hanging="1440"/>
      </w:pPr>
    </w:lvl>
    <w:lvl w:ilvl="5">
      <w:start w:val="1"/>
      <w:numFmt w:val="decimal"/>
      <w:lvlText w:val="%1.%2.%3.%4.%5.%6"/>
      <w:lvlJc w:val="left"/>
      <w:pPr>
        <w:ind w:left="2835" w:hanging="1440"/>
      </w:pPr>
    </w:lvl>
    <w:lvl w:ilvl="6">
      <w:start w:val="1"/>
      <w:numFmt w:val="decimal"/>
      <w:lvlText w:val="%1.%2.%3.%4.%5.%6.%7"/>
      <w:lvlJc w:val="left"/>
      <w:pPr>
        <w:ind w:left="3402" w:hanging="1800"/>
      </w:pPr>
    </w:lvl>
    <w:lvl w:ilvl="7">
      <w:start w:val="1"/>
      <w:numFmt w:val="decimal"/>
      <w:lvlText w:val="%1.%2.%3.%4.%5.%6.%7.%8"/>
      <w:lvlJc w:val="left"/>
      <w:pPr>
        <w:ind w:left="3969" w:hanging="2160"/>
      </w:pPr>
    </w:lvl>
    <w:lvl w:ilvl="8">
      <w:start w:val="1"/>
      <w:numFmt w:val="decimal"/>
      <w:lvlText w:val="%1.%2.%3.%4.%5.%6.%7.%8.%9"/>
      <w:lvlJc w:val="left"/>
      <w:pPr>
        <w:ind w:left="4176" w:hanging="2160"/>
      </w:pPr>
    </w:lvl>
  </w:abstractNum>
  <w:abstractNum w:abstractNumId="12" w15:restartNumberingAfterBreak="0">
    <w:nsid w:val="1D730A10"/>
    <w:multiLevelType w:val="hybridMultilevel"/>
    <w:tmpl w:val="5816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416BDA"/>
    <w:multiLevelType w:val="hybridMultilevel"/>
    <w:tmpl w:val="0B6E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FD4A3D"/>
    <w:multiLevelType w:val="hybridMultilevel"/>
    <w:tmpl w:val="9C86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B05279"/>
    <w:multiLevelType w:val="hybridMultilevel"/>
    <w:tmpl w:val="4948D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13E25"/>
    <w:multiLevelType w:val="hybridMultilevel"/>
    <w:tmpl w:val="9D204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D361B1"/>
    <w:multiLevelType w:val="hybridMultilevel"/>
    <w:tmpl w:val="11B6C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557599"/>
    <w:multiLevelType w:val="hybridMultilevel"/>
    <w:tmpl w:val="683E7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3D2D7D"/>
    <w:multiLevelType w:val="hybridMultilevel"/>
    <w:tmpl w:val="B5BC6436"/>
    <w:lvl w:ilvl="0" w:tplc="DC8ECFA0">
      <w:numFmt w:val="bullet"/>
      <w:lvlText w:val="•"/>
      <w:lvlJc w:val="left"/>
      <w:pPr>
        <w:ind w:left="1080" w:hanging="72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BA0F4B"/>
    <w:multiLevelType w:val="hybridMultilevel"/>
    <w:tmpl w:val="D79A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082334"/>
    <w:multiLevelType w:val="hybridMultilevel"/>
    <w:tmpl w:val="8D1E5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24199D"/>
    <w:multiLevelType w:val="hybridMultilevel"/>
    <w:tmpl w:val="9CB4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A972A6"/>
    <w:multiLevelType w:val="hybridMultilevel"/>
    <w:tmpl w:val="CE9E0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016AFE"/>
    <w:multiLevelType w:val="hybridMultilevel"/>
    <w:tmpl w:val="DC9261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AE7E03"/>
    <w:multiLevelType w:val="hybridMultilevel"/>
    <w:tmpl w:val="01BC0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88223E"/>
    <w:multiLevelType w:val="multilevel"/>
    <w:tmpl w:val="24F2B7D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6C570D77"/>
    <w:multiLevelType w:val="multilevel"/>
    <w:tmpl w:val="BDA4E2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26964E7"/>
    <w:multiLevelType w:val="hybridMultilevel"/>
    <w:tmpl w:val="68309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711768"/>
    <w:multiLevelType w:val="hybridMultilevel"/>
    <w:tmpl w:val="E5906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484B6F"/>
    <w:multiLevelType w:val="hybridMultilevel"/>
    <w:tmpl w:val="91BE8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207655">
    <w:abstractNumId w:val="1"/>
  </w:num>
  <w:num w:numId="2" w16cid:durableId="858079515">
    <w:abstractNumId w:val="0"/>
  </w:num>
  <w:num w:numId="3" w16cid:durableId="1420172235">
    <w:abstractNumId w:val="26"/>
  </w:num>
  <w:num w:numId="4" w16cid:durableId="1393844551">
    <w:abstractNumId w:val="8"/>
  </w:num>
  <w:num w:numId="5" w16cid:durableId="421799064">
    <w:abstractNumId w:val="17"/>
  </w:num>
  <w:num w:numId="6" w16cid:durableId="698286265">
    <w:abstractNumId w:val="15"/>
  </w:num>
  <w:num w:numId="7" w16cid:durableId="1002312963">
    <w:abstractNumId w:val="9"/>
  </w:num>
  <w:num w:numId="8" w16cid:durableId="157037827">
    <w:abstractNumId w:val="23"/>
  </w:num>
  <w:num w:numId="9" w16cid:durableId="654725568">
    <w:abstractNumId w:val="12"/>
  </w:num>
  <w:num w:numId="10" w16cid:durableId="1369795179">
    <w:abstractNumId w:val="21"/>
  </w:num>
  <w:num w:numId="11" w16cid:durableId="1708070358">
    <w:abstractNumId w:val="3"/>
  </w:num>
  <w:num w:numId="12" w16cid:durableId="130287875">
    <w:abstractNumId w:val="13"/>
  </w:num>
  <w:num w:numId="13" w16cid:durableId="301933029">
    <w:abstractNumId w:val="22"/>
  </w:num>
  <w:num w:numId="14" w16cid:durableId="912400197">
    <w:abstractNumId w:val="7"/>
  </w:num>
  <w:num w:numId="15" w16cid:durableId="438985879">
    <w:abstractNumId w:val="29"/>
  </w:num>
  <w:num w:numId="16" w16cid:durableId="619652632">
    <w:abstractNumId w:val="4"/>
  </w:num>
  <w:num w:numId="17" w16cid:durableId="394548197">
    <w:abstractNumId w:val="18"/>
  </w:num>
  <w:num w:numId="18" w16cid:durableId="1330669700">
    <w:abstractNumId w:val="24"/>
  </w:num>
  <w:num w:numId="19" w16cid:durableId="210313741">
    <w:abstractNumId w:val="30"/>
  </w:num>
  <w:num w:numId="20" w16cid:durableId="1869876684">
    <w:abstractNumId w:val="14"/>
  </w:num>
  <w:num w:numId="21" w16cid:durableId="2003846661">
    <w:abstractNumId w:val="11"/>
  </w:num>
  <w:num w:numId="22" w16cid:durableId="941373258">
    <w:abstractNumId w:val="27"/>
  </w:num>
  <w:num w:numId="23" w16cid:durableId="2013140133">
    <w:abstractNumId w:val="6"/>
  </w:num>
  <w:num w:numId="24" w16cid:durableId="943338907">
    <w:abstractNumId w:val="19"/>
  </w:num>
  <w:num w:numId="25" w16cid:durableId="1774741824">
    <w:abstractNumId w:val="25"/>
  </w:num>
  <w:num w:numId="26" w16cid:durableId="93290248">
    <w:abstractNumId w:val="5"/>
  </w:num>
  <w:num w:numId="27" w16cid:durableId="1505778713">
    <w:abstractNumId w:val="16"/>
  </w:num>
  <w:num w:numId="28" w16cid:durableId="166750659">
    <w:abstractNumId w:val="2"/>
  </w:num>
  <w:num w:numId="29" w16cid:durableId="299461499">
    <w:abstractNumId w:val="20"/>
  </w:num>
  <w:num w:numId="30" w16cid:durableId="2079478525">
    <w:abstractNumId w:val="28"/>
  </w:num>
  <w:num w:numId="31" w16cid:durableId="5933237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5DB"/>
    <w:rsid w:val="000020DD"/>
    <w:rsid w:val="00003AF5"/>
    <w:rsid w:val="00007AFB"/>
    <w:rsid w:val="00024E5F"/>
    <w:rsid w:val="0003462D"/>
    <w:rsid w:val="000379BF"/>
    <w:rsid w:val="00045EA2"/>
    <w:rsid w:val="00050898"/>
    <w:rsid w:val="0005354A"/>
    <w:rsid w:val="00066CBF"/>
    <w:rsid w:val="000707EB"/>
    <w:rsid w:val="00075F63"/>
    <w:rsid w:val="00080964"/>
    <w:rsid w:val="00083F31"/>
    <w:rsid w:val="0008450D"/>
    <w:rsid w:val="000A0CA6"/>
    <w:rsid w:val="000A3372"/>
    <w:rsid w:val="000B2A11"/>
    <w:rsid w:val="000B5BED"/>
    <w:rsid w:val="000C06B9"/>
    <w:rsid w:val="000C5BB7"/>
    <w:rsid w:val="000E1079"/>
    <w:rsid w:val="000E1DC0"/>
    <w:rsid w:val="000E24A8"/>
    <w:rsid w:val="000F05B4"/>
    <w:rsid w:val="00104771"/>
    <w:rsid w:val="00104C67"/>
    <w:rsid w:val="0010729F"/>
    <w:rsid w:val="0011207B"/>
    <w:rsid w:val="001168D1"/>
    <w:rsid w:val="00135F2D"/>
    <w:rsid w:val="0013669B"/>
    <w:rsid w:val="0015297F"/>
    <w:rsid w:val="00161096"/>
    <w:rsid w:val="00172A30"/>
    <w:rsid w:val="00175F50"/>
    <w:rsid w:val="00176F3D"/>
    <w:rsid w:val="00181D1E"/>
    <w:rsid w:val="00190F80"/>
    <w:rsid w:val="00195494"/>
    <w:rsid w:val="001B1A0E"/>
    <w:rsid w:val="001B7284"/>
    <w:rsid w:val="001C7036"/>
    <w:rsid w:val="001E273D"/>
    <w:rsid w:val="001E5371"/>
    <w:rsid w:val="001F0943"/>
    <w:rsid w:val="001F4B54"/>
    <w:rsid w:val="001F62F7"/>
    <w:rsid w:val="001F6DE5"/>
    <w:rsid w:val="001F71DD"/>
    <w:rsid w:val="001F7987"/>
    <w:rsid w:val="00203BDD"/>
    <w:rsid w:val="00206B8C"/>
    <w:rsid w:val="00211DD7"/>
    <w:rsid w:val="00234E8D"/>
    <w:rsid w:val="0024577A"/>
    <w:rsid w:val="00246A7B"/>
    <w:rsid w:val="0025756F"/>
    <w:rsid w:val="00265004"/>
    <w:rsid w:val="00266093"/>
    <w:rsid w:val="00272F37"/>
    <w:rsid w:val="00284299"/>
    <w:rsid w:val="00287B0D"/>
    <w:rsid w:val="002916E8"/>
    <w:rsid w:val="002B37E7"/>
    <w:rsid w:val="002B458A"/>
    <w:rsid w:val="002B7115"/>
    <w:rsid w:val="002C70F8"/>
    <w:rsid w:val="002D3D1C"/>
    <w:rsid w:val="002E1B7C"/>
    <w:rsid w:val="002E2CAB"/>
    <w:rsid w:val="002F55C2"/>
    <w:rsid w:val="0030107B"/>
    <w:rsid w:val="0030561D"/>
    <w:rsid w:val="003112D2"/>
    <w:rsid w:val="00311635"/>
    <w:rsid w:val="003229F0"/>
    <w:rsid w:val="0033059E"/>
    <w:rsid w:val="003309C5"/>
    <w:rsid w:val="00361C7E"/>
    <w:rsid w:val="00363716"/>
    <w:rsid w:val="00386716"/>
    <w:rsid w:val="00391112"/>
    <w:rsid w:val="00394214"/>
    <w:rsid w:val="003A1FFC"/>
    <w:rsid w:val="003A5911"/>
    <w:rsid w:val="003A6242"/>
    <w:rsid w:val="003A65DB"/>
    <w:rsid w:val="003A6D77"/>
    <w:rsid w:val="003A74CF"/>
    <w:rsid w:val="003B73B3"/>
    <w:rsid w:val="003B7726"/>
    <w:rsid w:val="003C640E"/>
    <w:rsid w:val="003D1CD0"/>
    <w:rsid w:val="003D23BF"/>
    <w:rsid w:val="003D3B5D"/>
    <w:rsid w:val="003D48DA"/>
    <w:rsid w:val="003D64BA"/>
    <w:rsid w:val="003D7798"/>
    <w:rsid w:val="003E2EC1"/>
    <w:rsid w:val="003E44B4"/>
    <w:rsid w:val="003E6B0B"/>
    <w:rsid w:val="003E7DF1"/>
    <w:rsid w:val="003F06BA"/>
    <w:rsid w:val="003F2F51"/>
    <w:rsid w:val="0041622E"/>
    <w:rsid w:val="00422428"/>
    <w:rsid w:val="004340A7"/>
    <w:rsid w:val="004342A8"/>
    <w:rsid w:val="00441181"/>
    <w:rsid w:val="004508C7"/>
    <w:rsid w:val="00453E53"/>
    <w:rsid w:val="00454592"/>
    <w:rsid w:val="00456275"/>
    <w:rsid w:val="0046219D"/>
    <w:rsid w:val="00471BB4"/>
    <w:rsid w:val="0047405F"/>
    <w:rsid w:val="0048425C"/>
    <w:rsid w:val="00484B85"/>
    <w:rsid w:val="00496A00"/>
    <w:rsid w:val="004A7BAE"/>
    <w:rsid w:val="004B131C"/>
    <w:rsid w:val="004D2F4D"/>
    <w:rsid w:val="004E1640"/>
    <w:rsid w:val="004E3D69"/>
    <w:rsid w:val="004F3F36"/>
    <w:rsid w:val="00507810"/>
    <w:rsid w:val="005300F4"/>
    <w:rsid w:val="005600A2"/>
    <w:rsid w:val="005605CF"/>
    <w:rsid w:val="00566F1D"/>
    <w:rsid w:val="005822F8"/>
    <w:rsid w:val="0058521F"/>
    <w:rsid w:val="00586403"/>
    <w:rsid w:val="005A7CAF"/>
    <w:rsid w:val="005B7410"/>
    <w:rsid w:val="005C5168"/>
    <w:rsid w:val="005E57C3"/>
    <w:rsid w:val="005E7E77"/>
    <w:rsid w:val="005F0461"/>
    <w:rsid w:val="005F2D91"/>
    <w:rsid w:val="005F318A"/>
    <w:rsid w:val="00604E56"/>
    <w:rsid w:val="00623171"/>
    <w:rsid w:val="00623235"/>
    <w:rsid w:val="00625C95"/>
    <w:rsid w:val="00632903"/>
    <w:rsid w:val="006437CF"/>
    <w:rsid w:val="00663955"/>
    <w:rsid w:val="00663CA0"/>
    <w:rsid w:val="006917F0"/>
    <w:rsid w:val="006959AF"/>
    <w:rsid w:val="006A1C3F"/>
    <w:rsid w:val="006B0A62"/>
    <w:rsid w:val="006B7F72"/>
    <w:rsid w:val="006C3927"/>
    <w:rsid w:val="006D7F7C"/>
    <w:rsid w:val="006E258E"/>
    <w:rsid w:val="006F20EF"/>
    <w:rsid w:val="006F785C"/>
    <w:rsid w:val="00725441"/>
    <w:rsid w:val="00734B71"/>
    <w:rsid w:val="0075002D"/>
    <w:rsid w:val="0075228A"/>
    <w:rsid w:val="00752E96"/>
    <w:rsid w:val="00754A19"/>
    <w:rsid w:val="00766AE6"/>
    <w:rsid w:val="00767407"/>
    <w:rsid w:val="00782B2D"/>
    <w:rsid w:val="00783460"/>
    <w:rsid w:val="00783B69"/>
    <w:rsid w:val="00783EA2"/>
    <w:rsid w:val="007B1605"/>
    <w:rsid w:val="007B170B"/>
    <w:rsid w:val="007B402B"/>
    <w:rsid w:val="007B569A"/>
    <w:rsid w:val="007D0814"/>
    <w:rsid w:val="007D37C3"/>
    <w:rsid w:val="007E2510"/>
    <w:rsid w:val="007E35DC"/>
    <w:rsid w:val="007F1154"/>
    <w:rsid w:val="0080278C"/>
    <w:rsid w:val="00806FC5"/>
    <w:rsid w:val="00813795"/>
    <w:rsid w:val="00816AD4"/>
    <w:rsid w:val="00833108"/>
    <w:rsid w:val="00850435"/>
    <w:rsid w:val="008564FE"/>
    <w:rsid w:val="008638D2"/>
    <w:rsid w:val="00880AD0"/>
    <w:rsid w:val="00885F76"/>
    <w:rsid w:val="00891773"/>
    <w:rsid w:val="00892127"/>
    <w:rsid w:val="00896450"/>
    <w:rsid w:val="008B2562"/>
    <w:rsid w:val="008C52D0"/>
    <w:rsid w:val="008D481A"/>
    <w:rsid w:val="008D4F85"/>
    <w:rsid w:val="008D6218"/>
    <w:rsid w:val="008E55D9"/>
    <w:rsid w:val="008F2A48"/>
    <w:rsid w:val="008F4486"/>
    <w:rsid w:val="00917CB8"/>
    <w:rsid w:val="009219D7"/>
    <w:rsid w:val="00924F6D"/>
    <w:rsid w:val="00931838"/>
    <w:rsid w:val="00932404"/>
    <w:rsid w:val="00944C33"/>
    <w:rsid w:val="009519BA"/>
    <w:rsid w:val="00954BD1"/>
    <w:rsid w:val="00964686"/>
    <w:rsid w:val="009669C5"/>
    <w:rsid w:val="0096B5C3"/>
    <w:rsid w:val="009704A4"/>
    <w:rsid w:val="00970AB8"/>
    <w:rsid w:val="00972457"/>
    <w:rsid w:val="009732B3"/>
    <w:rsid w:val="009745D6"/>
    <w:rsid w:val="00977169"/>
    <w:rsid w:val="00980FE2"/>
    <w:rsid w:val="0098788C"/>
    <w:rsid w:val="009950E1"/>
    <w:rsid w:val="009A47BD"/>
    <w:rsid w:val="009B2D61"/>
    <w:rsid w:val="009B3321"/>
    <w:rsid w:val="00A126C0"/>
    <w:rsid w:val="00A12C4A"/>
    <w:rsid w:val="00A31ABB"/>
    <w:rsid w:val="00A344FE"/>
    <w:rsid w:val="00A44A92"/>
    <w:rsid w:val="00A4536D"/>
    <w:rsid w:val="00A636BA"/>
    <w:rsid w:val="00A66424"/>
    <w:rsid w:val="00A72ECA"/>
    <w:rsid w:val="00A75BF2"/>
    <w:rsid w:val="00A877D3"/>
    <w:rsid w:val="00A97233"/>
    <w:rsid w:val="00A974E9"/>
    <w:rsid w:val="00AB45E3"/>
    <w:rsid w:val="00AC5817"/>
    <w:rsid w:val="00AD4EAC"/>
    <w:rsid w:val="00AE4E55"/>
    <w:rsid w:val="00AE5317"/>
    <w:rsid w:val="00AE59A9"/>
    <w:rsid w:val="00AF3648"/>
    <w:rsid w:val="00AF4625"/>
    <w:rsid w:val="00B01AEF"/>
    <w:rsid w:val="00B0215E"/>
    <w:rsid w:val="00B135D9"/>
    <w:rsid w:val="00B14A48"/>
    <w:rsid w:val="00B227B0"/>
    <w:rsid w:val="00B23357"/>
    <w:rsid w:val="00B32B99"/>
    <w:rsid w:val="00B4260F"/>
    <w:rsid w:val="00B6688A"/>
    <w:rsid w:val="00B6767E"/>
    <w:rsid w:val="00B76057"/>
    <w:rsid w:val="00B83771"/>
    <w:rsid w:val="00B96831"/>
    <w:rsid w:val="00BA4990"/>
    <w:rsid w:val="00BA4ACD"/>
    <w:rsid w:val="00BA6702"/>
    <w:rsid w:val="00BB5986"/>
    <w:rsid w:val="00BD6F22"/>
    <w:rsid w:val="00BE020A"/>
    <w:rsid w:val="00BE6D40"/>
    <w:rsid w:val="00BE7686"/>
    <w:rsid w:val="00BF1ACF"/>
    <w:rsid w:val="00BF3832"/>
    <w:rsid w:val="00BF3AC3"/>
    <w:rsid w:val="00BF415A"/>
    <w:rsid w:val="00BF63A1"/>
    <w:rsid w:val="00BF73CC"/>
    <w:rsid w:val="00C029CC"/>
    <w:rsid w:val="00C02AC4"/>
    <w:rsid w:val="00C02C15"/>
    <w:rsid w:val="00C14ACE"/>
    <w:rsid w:val="00C159C1"/>
    <w:rsid w:val="00C40CF5"/>
    <w:rsid w:val="00C42D65"/>
    <w:rsid w:val="00C50FE5"/>
    <w:rsid w:val="00C535A2"/>
    <w:rsid w:val="00C548E5"/>
    <w:rsid w:val="00C74637"/>
    <w:rsid w:val="00C777E3"/>
    <w:rsid w:val="00C83A24"/>
    <w:rsid w:val="00CA1177"/>
    <w:rsid w:val="00CA52FF"/>
    <w:rsid w:val="00CB292E"/>
    <w:rsid w:val="00CB446A"/>
    <w:rsid w:val="00CB7878"/>
    <w:rsid w:val="00CC0BA6"/>
    <w:rsid w:val="00CC1600"/>
    <w:rsid w:val="00CD0153"/>
    <w:rsid w:val="00CE0164"/>
    <w:rsid w:val="00CE20CF"/>
    <w:rsid w:val="00CF299E"/>
    <w:rsid w:val="00CF2C37"/>
    <w:rsid w:val="00CF3E28"/>
    <w:rsid w:val="00D04DBB"/>
    <w:rsid w:val="00D13707"/>
    <w:rsid w:val="00D14702"/>
    <w:rsid w:val="00D16244"/>
    <w:rsid w:val="00D546D9"/>
    <w:rsid w:val="00D57E24"/>
    <w:rsid w:val="00D72E5F"/>
    <w:rsid w:val="00D766FF"/>
    <w:rsid w:val="00D81592"/>
    <w:rsid w:val="00D87929"/>
    <w:rsid w:val="00D93B41"/>
    <w:rsid w:val="00DA77B8"/>
    <w:rsid w:val="00DB097B"/>
    <w:rsid w:val="00DB1315"/>
    <w:rsid w:val="00DB76D3"/>
    <w:rsid w:val="00DC2DC1"/>
    <w:rsid w:val="00DC6F59"/>
    <w:rsid w:val="00DF7473"/>
    <w:rsid w:val="00E03C87"/>
    <w:rsid w:val="00E10D86"/>
    <w:rsid w:val="00E12092"/>
    <w:rsid w:val="00E13AD5"/>
    <w:rsid w:val="00E16331"/>
    <w:rsid w:val="00E2455C"/>
    <w:rsid w:val="00E25C40"/>
    <w:rsid w:val="00E34E94"/>
    <w:rsid w:val="00E352B2"/>
    <w:rsid w:val="00E56811"/>
    <w:rsid w:val="00E6156F"/>
    <w:rsid w:val="00E64AEB"/>
    <w:rsid w:val="00E7314A"/>
    <w:rsid w:val="00E73D8B"/>
    <w:rsid w:val="00E75436"/>
    <w:rsid w:val="00E75E56"/>
    <w:rsid w:val="00E76344"/>
    <w:rsid w:val="00E9561C"/>
    <w:rsid w:val="00EA2EAA"/>
    <w:rsid w:val="00EA6530"/>
    <w:rsid w:val="00EB7F9C"/>
    <w:rsid w:val="00ED4E2F"/>
    <w:rsid w:val="00ED7C8A"/>
    <w:rsid w:val="00EE568D"/>
    <w:rsid w:val="00EE63B9"/>
    <w:rsid w:val="00EE65DB"/>
    <w:rsid w:val="00EE77C2"/>
    <w:rsid w:val="00EF64E0"/>
    <w:rsid w:val="00EF7BA4"/>
    <w:rsid w:val="00F005C3"/>
    <w:rsid w:val="00F01938"/>
    <w:rsid w:val="00F23EAF"/>
    <w:rsid w:val="00F26456"/>
    <w:rsid w:val="00F35691"/>
    <w:rsid w:val="00F402C6"/>
    <w:rsid w:val="00F44185"/>
    <w:rsid w:val="00F47D32"/>
    <w:rsid w:val="00F50B32"/>
    <w:rsid w:val="00F547F1"/>
    <w:rsid w:val="00F66C69"/>
    <w:rsid w:val="00F70111"/>
    <w:rsid w:val="00F80059"/>
    <w:rsid w:val="00F91D3F"/>
    <w:rsid w:val="00F96A05"/>
    <w:rsid w:val="00FA2DAE"/>
    <w:rsid w:val="00FA76CA"/>
    <w:rsid w:val="00FB5550"/>
    <w:rsid w:val="00FB5BBA"/>
    <w:rsid w:val="00FD6E4C"/>
    <w:rsid w:val="00FE1467"/>
    <w:rsid w:val="00FE55FE"/>
    <w:rsid w:val="00FF6C71"/>
    <w:rsid w:val="086A6496"/>
    <w:rsid w:val="15429781"/>
    <w:rsid w:val="20C30ED3"/>
    <w:rsid w:val="20DC1F4B"/>
    <w:rsid w:val="2314FEF2"/>
    <w:rsid w:val="242312B1"/>
    <w:rsid w:val="2A31F927"/>
    <w:rsid w:val="2CCA9D4D"/>
    <w:rsid w:val="2D6C2014"/>
    <w:rsid w:val="34613224"/>
    <w:rsid w:val="4065B08E"/>
    <w:rsid w:val="45751F82"/>
    <w:rsid w:val="4BA927EC"/>
    <w:rsid w:val="4EA95042"/>
    <w:rsid w:val="554AD7C0"/>
    <w:rsid w:val="608D122D"/>
    <w:rsid w:val="667E1875"/>
    <w:rsid w:val="7617895F"/>
    <w:rsid w:val="786C8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AC82"/>
  <w15:chartTrackingRefBased/>
  <w15:docId w15:val="{661A50A5-C97F-4723-B6C9-3C3A7146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235"/>
    <w:pPr>
      <w:spacing w:after="200" w:line="276" w:lineRule="auto"/>
    </w:pPr>
    <w:rPr>
      <w:rFonts w:ascii="Verdana" w:hAnsi="Verdana"/>
      <w:szCs w:val="22"/>
      <w:lang w:eastAsia="en-US"/>
    </w:rPr>
  </w:style>
  <w:style w:type="paragraph" w:styleId="Heading1">
    <w:name w:val="heading 1"/>
    <w:basedOn w:val="Normal"/>
    <w:next w:val="Normal"/>
    <w:link w:val="Heading1Char"/>
    <w:uiPriority w:val="9"/>
    <w:qFormat/>
    <w:rsid w:val="00813795"/>
    <w:pPr>
      <w:keepNext/>
      <w:keepLines/>
      <w:numPr>
        <w:numId w:val="3"/>
      </w:numPr>
      <w:spacing w:before="480" w:after="0"/>
      <w:outlineLvl w:val="0"/>
    </w:pPr>
    <w:rPr>
      <w:rFonts w:eastAsia="Times New Roman"/>
      <w:b/>
      <w:bCs/>
      <w:sz w:val="28"/>
      <w:szCs w:val="28"/>
    </w:rPr>
  </w:style>
  <w:style w:type="paragraph" w:styleId="Heading2">
    <w:name w:val="heading 2"/>
    <w:basedOn w:val="ListNumber"/>
    <w:next w:val="Normal"/>
    <w:link w:val="Heading2Char"/>
    <w:uiPriority w:val="9"/>
    <w:unhideWhenUsed/>
    <w:qFormat/>
    <w:rsid w:val="007E35DC"/>
    <w:pPr>
      <w:keepNext/>
      <w:keepLines/>
      <w:numPr>
        <w:ilvl w:val="1"/>
        <w:numId w:val="3"/>
      </w:numPr>
      <w:spacing w:before="200" w:after="0"/>
      <w:outlineLvl w:val="1"/>
    </w:pPr>
    <w:rPr>
      <w:rFonts w:eastAsia="Times New Roman"/>
      <w:b/>
      <w:bCs/>
      <w:sz w:val="24"/>
      <w:szCs w:val="26"/>
    </w:rPr>
  </w:style>
  <w:style w:type="paragraph" w:styleId="Heading3">
    <w:name w:val="heading 3"/>
    <w:basedOn w:val="ListNumber"/>
    <w:next w:val="Normal"/>
    <w:link w:val="Heading3Char"/>
    <w:uiPriority w:val="9"/>
    <w:unhideWhenUsed/>
    <w:qFormat/>
    <w:rsid w:val="001F4B54"/>
    <w:pPr>
      <w:keepNext/>
      <w:keepLines/>
      <w:numPr>
        <w:ilvl w:val="2"/>
        <w:numId w:val="3"/>
      </w:numPr>
      <w:spacing w:before="200" w:after="0"/>
      <w:outlineLvl w:val="2"/>
    </w:pPr>
    <w:rPr>
      <w:rFonts w:eastAsia="Times New Roman"/>
      <w:b/>
      <w:bCs/>
      <w:sz w:val="22"/>
    </w:rPr>
  </w:style>
  <w:style w:type="paragraph" w:styleId="Heading4">
    <w:name w:val="heading 4"/>
    <w:basedOn w:val="Normal"/>
    <w:next w:val="Normal"/>
    <w:link w:val="Heading4Char"/>
    <w:uiPriority w:val="9"/>
    <w:unhideWhenUsed/>
    <w:qFormat/>
    <w:rsid w:val="007E35DC"/>
    <w:pPr>
      <w:keepNext/>
      <w:keepLines/>
      <w:numPr>
        <w:ilvl w:val="3"/>
        <w:numId w:val="3"/>
      </w:numPr>
      <w:spacing w:before="200" w:after="0"/>
      <w:outlineLvl w:val="3"/>
    </w:pPr>
    <w:rPr>
      <w:rFonts w:eastAsia="Times New Roman"/>
      <w:b/>
      <w:bCs/>
      <w:i/>
      <w:iCs/>
      <w:sz w:val="22"/>
    </w:rPr>
  </w:style>
  <w:style w:type="paragraph" w:styleId="Heading5">
    <w:name w:val="heading 5"/>
    <w:basedOn w:val="Normal"/>
    <w:next w:val="Normal"/>
    <w:link w:val="Heading5Char"/>
    <w:uiPriority w:val="9"/>
    <w:semiHidden/>
    <w:unhideWhenUsed/>
    <w:qFormat/>
    <w:rsid w:val="001F4B54"/>
    <w:pPr>
      <w:keepNext/>
      <w:keepLines/>
      <w:numPr>
        <w:ilvl w:val="4"/>
        <w:numId w:val="3"/>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F4B54"/>
    <w:pPr>
      <w:keepNext/>
      <w:keepLines/>
      <w:numPr>
        <w:ilvl w:val="5"/>
        <w:numId w:val="3"/>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F4B54"/>
    <w:pPr>
      <w:keepNext/>
      <w:keepLines/>
      <w:numPr>
        <w:ilvl w:val="6"/>
        <w:numId w:val="3"/>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F4B54"/>
    <w:pPr>
      <w:keepNext/>
      <w:keepLines/>
      <w:numPr>
        <w:ilvl w:val="7"/>
        <w:numId w:val="3"/>
      </w:numPr>
      <w:spacing w:before="200" w:after="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1F4B54"/>
    <w:pPr>
      <w:keepNext/>
      <w:keepLines/>
      <w:numPr>
        <w:ilvl w:val="8"/>
        <w:numId w:val="3"/>
      </w:numPr>
      <w:spacing w:before="200" w:after="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5DB"/>
  </w:style>
  <w:style w:type="paragraph" w:styleId="Footer">
    <w:name w:val="footer"/>
    <w:basedOn w:val="Normal"/>
    <w:link w:val="FooterChar"/>
    <w:uiPriority w:val="99"/>
    <w:unhideWhenUsed/>
    <w:rsid w:val="00EE6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5DB"/>
  </w:style>
  <w:style w:type="paragraph" w:styleId="BalloonText">
    <w:name w:val="Balloon Text"/>
    <w:basedOn w:val="Normal"/>
    <w:link w:val="BalloonTextChar"/>
    <w:uiPriority w:val="99"/>
    <w:semiHidden/>
    <w:unhideWhenUsed/>
    <w:rsid w:val="00EE6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5DB"/>
    <w:rPr>
      <w:rFonts w:ascii="Tahoma" w:hAnsi="Tahoma" w:cs="Tahoma"/>
      <w:sz w:val="16"/>
      <w:szCs w:val="16"/>
    </w:rPr>
  </w:style>
  <w:style w:type="paragraph" w:styleId="NoSpacing">
    <w:name w:val="No Spacing"/>
    <w:link w:val="NoSpacingChar"/>
    <w:uiPriority w:val="1"/>
    <w:qFormat/>
    <w:rsid w:val="00EE65DB"/>
    <w:rPr>
      <w:rFonts w:eastAsia="Times New Roman"/>
      <w:sz w:val="22"/>
      <w:szCs w:val="22"/>
      <w:lang w:val="en-US" w:eastAsia="en-US"/>
    </w:rPr>
  </w:style>
  <w:style w:type="character" w:customStyle="1" w:styleId="NoSpacingChar">
    <w:name w:val="No Spacing Char"/>
    <w:basedOn w:val="DefaultParagraphFont"/>
    <w:link w:val="NoSpacing"/>
    <w:uiPriority w:val="1"/>
    <w:rsid w:val="00EE65DB"/>
    <w:rPr>
      <w:rFonts w:eastAsia="Times New Roman"/>
      <w:sz w:val="22"/>
      <w:szCs w:val="22"/>
      <w:lang w:val="en-US" w:eastAsia="en-US" w:bidi="ar-SA"/>
    </w:rPr>
  </w:style>
  <w:style w:type="character" w:customStyle="1" w:styleId="Heading1Char">
    <w:name w:val="Heading 1 Char"/>
    <w:basedOn w:val="DefaultParagraphFont"/>
    <w:link w:val="Heading1"/>
    <w:uiPriority w:val="9"/>
    <w:rsid w:val="00813795"/>
    <w:rPr>
      <w:rFonts w:ascii="Verdana" w:eastAsia="Times New Roman" w:hAnsi="Verdana"/>
      <w:b/>
      <w:bCs/>
      <w:sz w:val="28"/>
      <w:szCs w:val="28"/>
      <w:lang w:eastAsia="en-US"/>
    </w:rPr>
  </w:style>
  <w:style w:type="character" w:customStyle="1" w:styleId="Heading2Char">
    <w:name w:val="Heading 2 Char"/>
    <w:basedOn w:val="DefaultParagraphFont"/>
    <w:link w:val="Heading2"/>
    <w:uiPriority w:val="9"/>
    <w:rsid w:val="007E35DC"/>
    <w:rPr>
      <w:rFonts w:ascii="Verdana" w:eastAsia="Times New Roman" w:hAnsi="Verdana"/>
      <w:b/>
      <w:bCs/>
      <w:sz w:val="24"/>
      <w:szCs w:val="26"/>
      <w:lang w:eastAsia="en-US"/>
    </w:rPr>
  </w:style>
  <w:style w:type="paragraph" w:styleId="DocumentMap">
    <w:name w:val="Document Map"/>
    <w:basedOn w:val="Normal"/>
    <w:link w:val="DocumentMapChar"/>
    <w:uiPriority w:val="99"/>
    <w:semiHidden/>
    <w:unhideWhenUsed/>
    <w:rsid w:val="008137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13795"/>
    <w:rPr>
      <w:rFonts w:ascii="Tahoma" w:hAnsi="Tahoma" w:cs="Tahoma"/>
      <w:sz w:val="16"/>
      <w:szCs w:val="16"/>
    </w:rPr>
  </w:style>
  <w:style w:type="character" w:customStyle="1" w:styleId="Heading3Char">
    <w:name w:val="Heading 3 Char"/>
    <w:basedOn w:val="DefaultParagraphFont"/>
    <w:link w:val="Heading3"/>
    <w:uiPriority w:val="9"/>
    <w:rsid w:val="001F4B54"/>
    <w:rPr>
      <w:rFonts w:ascii="Verdana" w:eastAsia="Times New Roman" w:hAnsi="Verdana"/>
      <w:b/>
      <w:bCs/>
      <w:sz w:val="22"/>
      <w:szCs w:val="22"/>
      <w:lang w:eastAsia="en-US"/>
    </w:rPr>
  </w:style>
  <w:style w:type="character" w:customStyle="1" w:styleId="Heading4Char">
    <w:name w:val="Heading 4 Char"/>
    <w:basedOn w:val="DefaultParagraphFont"/>
    <w:link w:val="Heading4"/>
    <w:uiPriority w:val="9"/>
    <w:rsid w:val="007E35DC"/>
    <w:rPr>
      <w:rFonts w:ascii="Verdana" w:eastAsia="Times New Roman" w:hAnsi="Verdana"/>
      <w:b/>
      <w:bCs/>
      <w:i/>
      <w:iCs/>
      <w:sz w:val="22"/>
      <w:szCs w:val="22"/>
      <w:lang w:eastAsia="en-US"/>
    </w:rPr>
  </w:style>
  <w:style w:type="paragraph" w:styleId="TOCHeading">
    <w:name w:val="TOC Heading"/>
    <w:basedOn w:val="Heading1"/>
    <w:next w:val="Normal"/>
    <w:uiPriority w:val="39"/>
    <w:semiHidden/>
    <w:unhideWhenUsed/>
    <w:qFormat/>
    <w:rsid w:val="00C40CF5"/>
    <w:pPr>
      <w:outlineLvl w:val="9"/>
    </w:pPr>
    <w:rPr>
      <w:rFonts w:ascii="Cambria" w:hAnsi="Cambria"/>
      <w:color w:val="365F91"/>
      <w:lang w:val="en-US"/>
    </w:rPr>
  </w:style>
  <w:style w:type="paragraph" w:styleId="TOC1">
    <w:name w:val="toc 1"/>
    <w:basedOn w:val="Normal"/>
    <w:next w:val="Normal"/>
    <w:autoRedefine/>
    <w:uiPriority w:val="39"/>
    <w:unhideWhenUsed/>
    <w:rsid w:val="00C40CF5"/>
    <w:pPr>
      <w:spacing w:after="100"/>
    </w:pPr>
  </w:style>
  <w:style w:type="paragraph" w:styleId="ListNumber">
    <w:name w:val="List Number"/>
    <w:basedOn w:val="Normal"/>
    <w:uiPriority w:val="99"/>
    <w:semiHidden/>
    <w:unhideWhenUsed/>
    <w:rsid w:val="007E35DC"/>
    <w:pPr>
      <w:numPr>
        <w:numId w:val="1"/>
      </w:numPr>
      <w:contextualSpacing/>
    </w:pPr>
  </w:style>
  <w:style w:type="paragraph" w:styleId="TOC2">
    <w:name w:val="toc 2"/>
    <w:basedOn w:val="Normal"/>
    <w:next w:val="Normal"/>
    <w:autoRedefine/>
    <w:uiPriority w:val="39"/>
    <w:unhideWhenUsed/>
    <w:rsid w:val="00C40CF5"/>
    <w:pPr>
      <w:spacing w:after="100"/>
      <w:ind w:left="200"/>
    </w:pPr>
  </w:style>
  <w:style w:type="paragraph" w:styleId="TOC3">
    <w:name w:val="toc 3"/>
    <w:basedOn w:val="Normal"/>
    <w:next w:val="Normal"/>
    <w:autoRedefine/>
    <w:uiPriority w:val="39"/>
    <w:unhideWhenUsed/>
    <w:rsid w:val="00C40CF5"/>
    <w:pPr>
      <w:spacing w:after="100"/>
      <w:ind w:left="400"/>
    </w:pPr>
  </w:style>
  <w:style w:type="character" w:styleId="Hyperlink">
    <w:name w:val="Hyperlink"/>
    <w:basedOn w:val="DefaultParagraphFont"/>
    <w:uiPriority w:val="99"/>
    <w:unhideWhenUsed/>
    <w:rsid w:val="00C40CF5"/>
    <w:rPr>
      <w:color w:val="0000FF"/>
      <w:u w:val="single"/>
    </w:rPr>
  </w:style>
  <w:style w:type="character" w:customStyle="1" w:styleId="Heading5Char">
    <w:name w:val="Heading 5 Char"/>
    <w:basedOn w:val="DefaultParagraphFont"/>
    <w:link w:val="Heading5"/>
    <w:uiPriority w:val="9"/>
    <w:semiHidden/>
    <w:rsid w:val="001F4B54"/>
    <w:rPr>
      <w:rFonts w:ascii="Cambria" w:eastAsia="Times New Roman" w:hAnsi="Cambria"/>
      <w:color w:val="243F60"/>
      <w:szCs w:val="22"/>
      <w:lang w:eastAsia="en-US"/>
    </w:rPr>
  </w:style>
  <w:style w:type="character" w:customStyle="1" w:styleId="Heading6Char">
    <w:name w:val="Heading 6 Char"/>
    <w:basedOn w:val="DefaultParagraphFont"/>
    <w:link w:val="Heading6"/>
    <w:uiPriority w:val="9"/>
    <w:semiHidden/>
    <w:rsid w:val="001F4B54"/>
    <w:rPr>
      <w:rFonts w:ascii="Cambria" w:eastAsia="Times New Roman" w:hAnsi="Cambria"/>
      <w:i/>
      <w:iCs/>
      <w:color w:val="243F60"/>
      <w:szCs w:val="22"/>
      <w:lang w:eastAsia="en-US"/>
    </w:rPr>
  </w:style>
  <w:style w:type="character" w:customStyle="1" w:styleId="Heading7Char">
    <w:name w:val="Heading 7 Char"/>
    <w:basedOn w:val="DefaultParagraphFont"/>
    <w:link w:val="Heading7"/>
    <w:uiPriority w:val="9"/>
    <w:semiHidden/>
    <w:rsid w:val="001F4B54"/>
    <w:rPr>
      <w:rFonts w:ascii="Cambria" w:eastAsia="Times New Roman" w:hAnsi="Cambria"/>
      <w:i/>
      <w:iCs/>
      <w:color w:val="404040"/>
      <w:szCs w:val="22"/>
      <w:lang w:eastAsia="en-US"/>
    </w:rPr>
  </w:style>
  <w:style w:type="character" w:customStyle="1" w:styleId="Heading8Char">
    <w:name w:val="Heading 8 Char"/>
    <w:basedOn w:val="DefaultParagraphFont"/>
    <w:link w:val="Heading8"/>
    <w:uiPriority w:val="9"/>
    <w:semiHidden/>
    <w:rsid w:val="001F4B54"/>
    <w:rPr>
      <w:rFonts w:ascii="Cambria" w:eastAsia="Times New Roman" w:hAnsi="Cambria"/>
      <w:color w:val="404040"/>
      <w:lang w:eastAsia="en-US"/>
    </w:rPr>
  </w:style>
  <w:style w:type="character" w:customStyle="1" w:styleId="Heading9Char">
    <w:name w:val="Heading 9 Char"/>
    <w:basedOn w:val="DefaultParagraphFont"/>
    <w:link w:val="Heading9"/>
    <w:uiPriority w:val="9"/>
    <w:semiHidden/>
    <w:rsid w:val="001F4B54"/>
    <w:rPr>
      <w:rFonts w:ascii="Cambria" w:eastAsia="Times New Roman" w:hAnsi="Cambria"/>
      <w:i/>
      <w:iCs/>
      <w:color w:val="404040"/>
      <w:lang w:eastAsia="en-US"/>
    </w:rPr>
  </w:style>
  <w:style w:type="paragraph" w:styleId="Title">
    <w:name w:val="Title"/>
    <w:basedOn w:val="Normal"/>
    <w:next w:val="Normal"/>
    <w:link w:val="TitleChar"/>
    <w:uiPriority w:val="10"/>
    <w:qFormat/>
    <w:rsid w:val="00CF3E28"/>
    <w:pPr>
      <w:pBdr>
        <w:bottom w:val="single" w:sz="8" w:space="4" w:color="4F81BD"/>
      </w:pBdr>
      <w:spacing w:after="300" w:line="240" w:lineRule="auto"/>
      <w:contextualSpacing/>
    </w:pPr>
    <w:rPr>
      <w:rFonts w:eastAsia="Times New Roman"/>
      <w:b/>
      <w:spacing w:val="5"/>
      <w:kern w:val="28"/>
      <w:sz w:val="32"/>
      <w:szCs w:val="52"/>
    </w:rPr>
  </w:style>
  <w:style w:type="character" w:customStyle="1" w:styleId="TitleChar">
    <w:name w:val="Title Char"/>
    <w:basedOn w:val="DefaultParagraphFont"/>
    <w:link w:val="Title"/>
    <w:uiPriority w:val="10"/>
    <w:rsid w:val="00CF3E28"/>
    <w:rPr>
      <w:rFonts w:ascii="Century Gothic" w:eastAsia="Times New Roman" w:hAnsi="Century Gothic" w:cs="Times New Roman"/>
      <w:b/>
      <w:spacing w:val="5"/>
      <w:kern w:val="28"/>
      <w:sz w:val="32"/>
      <w:szCs w:val="52"/>
    </w:rPr>
  </w:style>
  <w:style w:type="table" w:styleId="TableGrid">
    <w:name w:val="Table Grid"/>
    <w:basedOn w:val="TableNormal"/>
    <w:uiPriority w:val="59"/>
    <w:rsid w:val="00181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ListNumber"/>
    <w:next w:val="ListNumber"/>
    <w:uiPriority w:val="34"/>
    <w:qFormat/>
    <w:rsid w:val="007D37C3"/>
    <w:pPr>
      <w:ind w:left="720"/>
    </w:pPr>
  </w:style>
  <w:style w:type="character" w:styleId="CommentReference">
    <w:name w:val="annotation reference"/>
    <w:basedOn w:val="DefaultParagraphFont"/>
    <w:uiPriority w:val="99"/>
    <w:semiHidden/>
    <w:unhideWhenUsed/>
    <w:rsid w:val="004340A7"/>
    <w:rPr>
      <w:sz w:val="16"/>
      <w:szCs w:val="16"/>
    </w:rPr>
  </w:style>
  <w:style w:type="paragraph" w:styleId="CommentText">
    <w:name w:val="annotation text"/>
    <w:basedOn w:val="Normal"/>
    <w:link w:val="CommentTextChar"/>
    <w:uiPriority w:val="99"/>
    <w:semiHidden/>
    <w:unhideWhenUsed/>
    <w:rsid w:val="004340A7"/>
    <w:rPr>
      <w:szCs w:val="20"/>
    </w:rPr>
  </w:style>
  <w:style w:type="character" w:customStyle="1" w:styleId="CommentTextChar">
    <w:name w:val="Comment Text Char"/>
    <w:basedOn w:val="DefaultParagraphFont"/>
    <w:link w:val="CommentText"/>
    <w:uiPriority w:val="99"/>
    <w:semiHidden/>
    <w:rsid w:val="004340A7"/>
    <w:rPr>
      <w:rFonts w:ascii="Verdana" w:hAnsi="Verdana"/>
      <w:lang w:val="en-GB"/>
    </w:rPr>
  </w:style>
  <w:style w:type="paragraph" w:styleId="CommentSubject">
    <w:name w:val="annotation subject"/>
    <w:basedOn w:val="CommentText"/>
    <w:next w:val="CommentText"/>
    <w:link w:val="CommentSubjectChar"/>
    <w:uiPriority w:val="99"/>
    <w:semiHidden/>
    <w:unhideWhenUsed/>
    <w:rsid w:val="004340A7"/>
    <w:rPr>
      <w:b/>
      <w:bCs/>
    </w:rPr>
  </w:style>
  <w:style w:type="character" w:customStyle="1" w:styleId="CommentSubjectChar">
    <w:name w:val="Comment Subject Char"/>
    <w:basedOn w:val="CommentTextChar"/>
    <w:link w:val="CommentSubject"/>
    <w:uiPriority w:val="99"/>
    <w:semiHidden/>
    <w:rsid w:val="004340A7"/>
    <w:rPr>
      <w:rFonts w:ascii="Verdana" w:hAnsi="Verdana"/>
      <w:b/>
      <w:bCs/>
      <w:lang w:val="en-GB"/>
    </w:rPr>
  </w:style>
  <w:style w:type="character" w:styleId="UnresolvedMention">
    <w:name w:val="Unresolved Mention"/>
    <w:basedOn w:val="DefaultParagraphFont"/>
    <w:uiPriority w:val="99"/>
    <w:semiHidden/>
    <w:unhideWhenUsed/>
    <w:rsid w:val="00806FC5"/>
    <w:rPr>
      <w:color w:val="605E5C"/>
      <w:shd w:val="clear" w:color="auto" w:fill="E1DFDD"/>
    </w:rPr>
  </w:style>
  <w:style w:type="paragraph" w:styleId="Revision">
    <w:name w:val="Revision"/>
    <w:hidden/>
    <w:uiPriority w:val="99"/>
    <w:semiHidden/>
    <w:rsid w:val="007B170B"/>
    <w:rPr>
      <w:rFonts w:ascii="Verdana" w:hAnsi="Verdana"/>
      <w:szCs w:val="22"/>
      <w:lang w:eastAsia="en-US"/>
    </w:rPr>
  </w:style>
  <w:style w:type="character" w:customStyle="1" w:styleId="normaltextrun">
    <w:name w:val="normaltextrun"/>
    <w:basedOn w:val="DefaultParagraphFont"/>
    <w:rsid w:val="00053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70329">
      <w:bodyDiv w:val="1"/>
      <w:marLeft w:val="0"/>
      <w:marRight w:val="0"/>
      <w:marTop w:val="0"/>
      <w:marBottom w:val="0"/>
      <w:divBdr>
        <w:top w:val="none" w:sz="0" w:space="0" w:color="auto"/>
        <w:left w:val="none" w:sz="0" w:space="0" w:color="auto"/>
        <w:bottom w:val="none" w:sz="0" w:space="0" w:color="auto"/>
        <w:right w:val="none" w:sz="0" w:space="0" w:color="auto"/>
      </w:divBdr>
    </w:div>
    <w:div w:id="890700591">
      <w:bodyDiv w:val="1"/>
      <w:marLeft w:val="0"/>
      <w:marRight w:val="0"/>
      <w:marTop w:val="0"/>
      <w:marBottom w:val="0"/>
      <w:divBdr>
        <w:top w:val="none" w:sz="0" w:space="0" w:color="auto"/>
        <w:left w:val="none" w:sz="0" w:space="0" w:color="auto"/>
        <w:bottom w:val="none" w:sz="0" w:space="0" w:color="auto"/>
        <w:right w:val="none" w:sz="0" w:space="0" w:color="auto"/>
      </w:divBdr>
    </w:div>
    <w:div w:id="1180310902">
      <w:bodyDiv w:val="1"/>
      <w:marLeft w:val="0"/>
      <w:marRight w:val="0"/>
      <w:marTop w:val="0"/>
      <w:marBottom w:val="0"/>
      <w:divBdr>
        <w:top w:val="none" w:sz="0" w:space="0" w:color="auto"/>
        <w:left w:val="none" w:sz="0" w:space="0" w:color="auto"/>
        <w:bottom w:val="none" w:sz="0" w:space="0" w:color="auto"/>
        <w:right w:val="none" w:sz="0" w:space="0" w:color="auto"/>
      </w:divBdr>
    </w:div>
    <w:div w:id="1503739372">
      <w:bodyDiv w:val="1"/>
      <w:marLeft w:val="0"/>
      <w:marRight w:val="0"/>
      <w:marTop w:val="0"/>
      <w:marBottom w:val="0"/>
      <w:divBdr>
        <w:top w:val="none" w:sz="0" w:space="0" w:color="auto"/>
        <w:left w:val="none" w:sz="0" w:space="0" w:color="auto"/>
        <w:bottom w:val="none" w:sz="0" w:space="0" w:color="auto"/>
        <w:right w:val="none" w:sz="0" w:space="0" w:color="auto"/>
      </w:divBdr>
    </w:div>
    <w:div w:id="15615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vin.jones@imperial.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1CC75529FAA34B987F048466488DEE" ma:contentTypeVersion="16" ma:contentTypeDescription="Create a new document." ma:contentTypeScope="" ma:versionID="58130ed1560ed8986ac90936b622fc80">
  <xsd:schema xmlns:xsd="http://www.w3.org/2001/XMLSchema" xmlns:xs="http://www.w3.org/2001/XMLSchema" xmlns:p="http://schemas.microsoft.com/office/2006/metadata/properties" xmlns:ns3="aa581938-aaa6-48f1-a8e7-9621bfb675f9" xmlns:ns4="d8630c02-d2e0-4840-9905-f8c4ead66a0b" targetNamespace="http://schemas.microsoft.com/office/2006/metadata/properties" ma:root="true" ma:fieldsID="64e04bbff744b8a74afd8bc9707faf32" ns3:_="" ns4:_="">
    <xsd:import namespace="aa581938-aaa6-48f1-a8e7-9621bfb675f9"/>
    <xsd:import namespace="d8630c02-d2e0-4840-9905-f8c4ead66a0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81938-aaa6-48f1-a8e7-9621bfb6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630c02-d2e0-4840-9905-f8c4ead66a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a581938-aaa6-48f1-a8e7-9621bfb675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38C0D3-D4FE-4B57-BD38-DB28B7168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81938-aaa6-48f1-a8e7-9621bfb675f9"/>
    <ds:schemaRef ds:uri="d8630c02-d2e0-4840-9905-f8c4ead6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2E848-81BD-4309-89D4-E755A1B69180}">
  <ds:schemaRefs>
    <ds:schemaRef ds:uri="http://schemas.microsoft.com/office/2006/metadata/properties"/>
    <ds:schemaRef ds:uri="http://schemas.microsoft.com/office/infopath/2007/PartnerControls"/>
    <ds:schemaRef ds:uri="aa581938-aaa6-48f1-a8e7-9621bfb675f9"/>
  </ds:schemaRefs>
</ds:datastoreItem>
</file>

<file path=customXml/itemProps3.xml><?xml version="1.0" encoding="utf-8"?>
<ds:datastoreItem xmlns:ds="http://schemas.openxmlformats.org/officeDocument/2006/customXml" ds:itemID="{F26959AB-AA45-478B-83EB-94A3A0AF980E}">
  <ds:schemaRefs>
    <ds:schemaRef ds:uri="http://schemas.microsoft.com/sharepoint/v3/contenttype/forms"/>
  </ds:schemaRefs>
</ds:datastoreItem>
</file>

<file path=customXml/itemProps4.xml><?xml version="1.0" encoding="utf-8"?>
<ds:datastoreItem xmlns:ds="http://schemas.openxmlformats.org/officeDocument/2006/customXml" ds:itemID="{EF7F6699-6808-4671-99EF-D5D7B0C98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931</Words>
  <Characters>5307</Characters>
  <Application>Microsoft Office Word</Application>
  <DocSecurity>0</DocSecurity>
  <Lines>44</Lines>
  <Paragraphs>12</Paragraphs>
  <ScaleCrop>false</ScaleCrop>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Security Management System</dc:title>
  <dc:subject/>
  <dc:creator>WPM Payment Security</dc:creator>
  <cp:keywords/>
  <cp:lastModifiedBy>Jones, Gavin A</cp:lastModifiedBy>
  <cp:revision>26</cp:revision>
  <cp:lastPrinted>2021-05-12T08:41:00Z</cp:lastPrinted>
  <dcterms:created xsi:type="dcterms:W3CDTF">2023-12-18T16:41:00Z</dcterms:created>
  <dcterms:modified xsi:type="dcterms:W3CDTF">2025-05-23T13:08:00Z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0x010100091CC75529FAA34B987F048466488DEE</vt:lpwstr>
  </property>
</Properties>
</file>