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6"/>
      </w:tblGrid>
      <w:tr w:rsidR="00EE65DB" w:rsidRPr="00C42D65" w14:paraId="6334209C" w14:textId="77777777">
        <w:trPr>
          <w:trHeight w:val="2880"/>
          <w:jc w:val="center"/>
        </w:trPr>
        <w:tc>
          <w:tcPr>
            <w:tcW w:w="5000" w:type="pct"/>
          </w:tcPr>
          <w:p w14:paraId="031F4F5C" w14:textId="4E284629" w:rsidR="00EE65DB" w:rsidRDefault="009A5851" w:rsidP="00EE65DB">
            <w:pPr>
              <w:pStyle w:val="NoSpacing"/>
              <w:jc w:val="center"/>
              <w:rPr>
                <w:rFonts w:ascii="Cambria" w:hAnsi="Cambria"/>
                <w:caps/>
              </w:rPr>
            </w:pPr>
            <w:r>
              <w:rPr>
                <w:noProof/>
              </w:rPr>
              <w:drawing>
                <wp:inline distT="0" distB="0" distL="0" distR="0" wp14:anchorId="27687F10" wp14:editId="6EDF4D85">
                  <wp:extent cx="2943226" cy="1323700"/>
                  <wp:effectExtent l="0" t="0" r="0" b="0"/>
                  <wp:docPr id="147440537" name="Picture 147440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6" cy="132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5DB" w:rsidRPr="00E85371" w14:paraId="1BA8ABC5" w14:textId="77777777" w:rsidTr="00EE65DB">
        <w:trPr>
          <w:trHeight w:val="1440"/>
          <w:jc w:val="center"/>
        </w:trPr>
        <w:tc>
          <w:tcPr>
            <w:tcW w:w="5000" w:type="pct"/>
            <w:vAlign w:val="center"/>
          </w:tcPr>
          <w:p w14:paraId="61D3F69C" w14:textId="77777777" w:rsidR="00EE65DB" w:rsidRPr="00E85371" w:rsidRDefault="00C42D65">
            <w:pPr>
              <w:pStyle w:val="NoSpacing"/>
              <w:jc w:val="center"/>
              <w:rPr>
                <w:rFonts w:ascii="Verdana" w:hAnsi="Verdana"/>
                <w:sz w:val="80"/>
                <w:szCs w:val="80"/>
              </w:rPr>
            </w:pPr>
            <w:r w:rsidRPr="008D1A7C">
              <w:rPr>
                <w:rFonts w:ascii="Verdana" w:hAnsi="Verdana"/>
                <w:b/>
                <w:sz w:val="40"/>
                <w:szCs w:val="40"/>
                <w:lang w:val="en-GB" w:eastAsia="ar-SA"/>
              </w:rPr>
              <w:t>Payment Security Management System</w:t>
            </w:r>
            <w:r w:rsidR="00616597">
              <w:rPr>
                <w:rFonts w:ascii="Verdana" w:hAnsi="Verdana"/>
                <w:b/>
                <w:sz w:val="40"/>
                <w:szCs w:val="40"/>
                <w:lang w:val="en-GB" w:eastAsia="ar-SA"/>
              </w:rPr>
              <w:t xml:space="preserve"> (PSMS)</w:t>
            </w:r>
          </w:p>
        </w:tc>
      </w:tr>
      <w:tr w:rsidR="00EE65DB" w:rsidRPr="00E85371" w14:paraId="133A50A2" w14:textId="77777777" w:rsidTr="00EE65DB">
        <w:trPr>
          <w:trHeight w:val="720"/>
          <w:jc w:val="center"/>
        </w:trPr>
        <w:tc>
          <w:tcPr>
            <w:tcW w:w="5000" w:type="pct"/>
            <w:vAlign w:val="center"/>
          </w:tcPr>
          <w:p w14:paraId="30D26A07" w14:textId="77777777" w:rsidR="00EE65DB" w:rsidRPr="00E85371" w:rsidRDefault="00E9664C" w:rsidP="00EE65DB">
            <w:pPr>
              <w:pStyle w:val="NoSpacing"/>
              <w:jc w:val="center"/>
              <w:rPr>
                <w:rFonts w:ascii="Verdana" w:hAnsi="Verdana"/>
                <w:sz w:val="44"/>
                <w:szCs w:val="44"/>
              </w:rPr>
            </w:pPr>
            <w:r w:rsidRPr="00E85371">
              <w:rPr>
                <w:rFonts w:ascii="Verdana" w:hAnsi="Verdana"/>
                <w:sz w:val="36"/>
                <w:szCs w:val="36"/>
                <w:lang w:val="en-GB"/>
              </w:rPr>
              <w:t>Cardholder Data</w:t>
            </w:r>
            <w:r w:rsidR="00616597">
              <w:rPr>
                <w:rFonts w:ascii="Verdana" w:hAnsi="Verdana"/>
                <w:sz w:val="36"/>
                <w:szCs w:val="36"/>
                <w:lang w:val="en-GB"/>
              </w:rPr>
              <w:t xml:space="preserve"> (CHD)</w:t>
            </w:r>
            <w:r w:rsidRPr="00E85371">
              <w:rPr>
                <w:rFonts w:ascii="Verdana" w:hAnsi="Verdana"/>
                <w:sz w:val="36"/>
                <w:szCs w:val="36"/>
                <w:lang w:val="en-GB"/>
              </w:rPr>
              <w:t xml:space="preserve"> Handling Procedures</w:t>
            </w:r>
          </w:p>
        </w:tc>
      </w:tr>
      <w:tr w:rsidR="00EE65DB" w:rsidRPr="00E85371" w14:paraId="4BADBC7B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3F341245" w14:textId="77777777" w:rsidR="00EE65DB" w:rsidRPr="00E85371" w:rsidRDefault="00EE65DB">
            <w:pPr>
              <w:pStyle w:val="NoSpacing"/>
              <w:jc w:val="center"/>
              <w:rPr>
                <w:rFonts w:ascii="Verdana" w:hAnsi="Verdana"/>
              </w:rPr>
            </w:pPr>
          </w:p>
        </w:tc>
      </w:tr>
      <w:tr w:rsidR="00EE65DB" w:rsidRPr="00E85371" w14:paraId="0B1844BD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6324853C" w14:textId="77777777" w:rsidR="00EE65DB" w:rsidRPr="00E85371" w:rsidRDefault="00EE65DB" w:rsidP="00EE65DB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D1A7C" w:rsidRPr="00E85371" w14:paraId="6B8EE8DA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3D11B664" w14:textId="41B63FA7" w:rsidR="008D1A7C" w:rsidRPr="00623235" w:rsidRDefault="009A5851" w:rsidP="008D1A7C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May 2025</w:t>
            </w:r>
            <w:r w:rsidR="008D1A7C" w:rsidRPr="00623235">
              <w:rPr>
                <w:rFonts w:ascii="Verdana" w:hAnsi="Verdana"/>
                <w:b/>
                <w:bCs/>
                <w:sz w:val="20"/>
                <w:szCs w:val="20"/>
              </w:rPr>
              <w:t xml:space="preserve">| Release </w:t>
            </w:r>
            <w:r w:rsidR="008D1A7C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8D1A7C" w:rsidRPr="00623235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  <w:r w:rsidR="000C533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</w:tr>
    </w:tbl>
    <w:p w14:paraId="6487DAD2" w14:textId="77777777" w:rsidR="00EE65DB" w:rsidRPr="00E85371" w:rsidRDefault="00EE65DB">
      <w:pPr>
        <w:rPr>
          <w:rFonts w:ascii="Verdana" w:hAnsi="Verdana"/>
        </w:rPr>
      </w:pPr>
    </w:p>
    <w:p w14:paraId="4AE28C38" w14:textId="77777777" w:rsidR="00EE65DB" w:rsidRPr="00E85371" w:rsidRDefault="00EE65DB">
      <w:pPr>
        <w:rPr>
          <w:rFonts w:ascii="Verdana" w:hAnsi="Verdana"/>
        </w:rPr>
      </w:pPr>
    </w:p>
    <w:p w14:paraId="702A29B1" w14:textId="77777777" w:rsidR="00311635" w:rsidRPr="00E85371" w:rsidRDefault="00E76FEC" w:rsidP="00C40CF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C8E53FA" w14:textId="77777777" w:rsidR="00C40CF5" w:rsidRPr="00E85371" w:rsidRDefault="00C40CF5" w:rsidP="00CF3E28">
      <w:pPr>
        <w:pStyle w:val="Title"/>
        <w:rPr>
          <w:rFonts w:ascii="Verdana" w:hAnsi="Verdana"/>
        </w:rPr>
      </w:pPr>
      <w:r w:rsidRPr="00E85371">
        <w:rPr>
          <w:rFonts w:ascii="Verdana" w:hAnsi="Verdana"/>
        </w:rPr>
        <w:lastRenderedPageBreak/>
        <w:t>Contents</w:t>
      </w:r>
    </w:p>
    <w:p w14:paraId="4707759B" w14:textId="6662D8C9" w:rsidR="00AA1420" w:rsidRPr="00FE332B" w:rsidRDefault="006917F0">
      <w:pPr>
        <w:pStyle w:val="TOC1"/>
        <w:tabs>
          <w:tab w:val="right" w:leader="dot" w:pos="9016"/>
        </w:tabs>
        <w:rPr>
          <w:rFonts w:ascii="Verdana" w:eastAsiaTheme="minorEastAsia" w:hAnsi="Verdana" w:cstheme="minorBidi"/>
          <w:noProof/>
          <w:sz w:val="22"/>
          <w:lang w:eastAsia="en-GB"/>
        </w:rPr>
      </w:pPr>
      <w:r w:rsidRPr="00D00B5F">
        <w:rPr>
          <w:rFonts w:ascii="Verdana" w:hAnsi="Verdana"/>
        </w:rPr>
        <w:fldChar w:fldCharType="begin"/>
      </w:r>
      <w:r w:rsidR="00C40CF5" w:rsidRPr="00D00B5F">
        <w:rPr>
          <w:rFonts w:ascii="Verdana" w:hAnsi="Verdana"/>
        </w:rPr>
        <w:instrText xml:space="preserve"> TOC \o "1-3" \h \z \u </w:instrText>
      </w:r>
      <w:r w:rsidRPr="00D00B5F">
        <w:rPr>
          <w:rFonts w:ascii="Verdana" w:hAnsi="Verdana"/>
        </w:rPr>
        <w:fldChar w:fldCharType="separate"/>
      </w:r>
      <w:hyperlink w:anchor="_Toc71705997" w:history="1">
        <w:r w:rsidR="00AA1420" w:rsidRPr="00FE332B">
          <w:rPr>
            <w:rStyle w:val="Hyperlink"/>
            <w:rFonts w:ascii="Verdana" w:hAnsi="Verdana"/>
            <w:noProof/>
          </w:rPr>
          <w:t>Purpose</w:t>
        </w:r>
        <w:r w:rsidR="00AA1420" w:rsidRPr="00FE332B">
          <w:rPr>
            <w:rFonts w:ascii="Verdana" w:hAnsi="Verdana"/>
            <w:noProof/>
            <w:webHidden/>
          </w:rPr>
          <w:tab/>
        </w:r>
        <w:r w:rsidR="00AA1420" w:rsidRPr="00FE332B">
          <w:rPr>
            <w:rFonts w:ascii="Verdana" w:hAnsi="Verdana"/>
            <w:noProof/>
            <w:webHidden/>
          </w:rPr>
          <w:fldChar w:fldCharType="begin"/>
        </w:r>
        <w:r w:rsidR="00AA1420" w:rsidRPr="00FE332B">
          <w:rPr>
            <w:rFonts w:ascii="Verdana" w:hAnsi="Verdana"/>
            <w:noProof/>
            <w:webHidden/>
          </w:rPr>
          <w:instrText xml:space="preserve"> PAGEREF _Toc71705997 \h </w:instrText>
        </w:r>
        <w:r w:rsidR="00AA1420" w:rsidRPr="00FE332B">
          <w:rPr>
            <w:rFonts w:ascii="Verdana" w:hAnsi="Verdana"/>
            <w:noProof/>
            <w:webHidden/>
          </w:rPr>
        </w:r>
        <w:r w:rsidR="00AA1420" w:rsidRPr="00FE332B">
          <w:rPr>
            <w:rFonts w:ascii="Verdana" w:hAnsi="Verdana"/>
            <w:noProof/>
            <w:webHidden/>
          </w:rPr>
          <w:fldChar w:fldCharType="separate"/>
        </w:r>
        <w:r w:rsidR="00722BA9">
          <w:rPr>
            <w:rFonts w:ascii="Verdana" w:hAnsi="Verdana"/>
            <w:noProof/>
            <w:webHidden/>
          </w:rPr>
          <w:t>3</w:t>
        </w:r>
        <w:r w:rsidR="00AA1420" w:rsidRPr="00FE332B">
          <w:rPr>
            <w:rFonts w:ascii="Verdana" w:hAnsi="Verdana"/>
            <w:noProof/>
            <w:webHidden/>
          </w:rPr>
          <w:fldChar w:fldCharType="end"/>
        </w:r>
      </w:hyperlink>
    </w:p>
    <w:p w14:paraId="043789B0" w14:textId="25D6B9CA" w:rsidR="00AA1420" w:rsidRPr="00FE332B" w:rsidRDefault="00AA1420">
      <w:pPr>
        <w:pStyle w:val="TOC1"/>
        <w:tabs>
          <w:tab w:val="left" w:pos="400"/>
          <w:tab w:val="right" w:leader="dot" w:pos="9016"/>
        </w:tabs>
        <w:rPr>
          <w:rFonts w:ascii="Verdana" w:eastAsiaTheme="minorEastAsia" w:hAnsi="Verdana" w:cstheme="minorBidi"/>
          <w:noProof/>
          <w:sz w:val="22"/>
          <w:lang w:eastAsia="en-GB"/>
        </w:rPr>
      </w:pPr>
      <w:hyperlink w:anchor="_Toc71705998" w:history="1">
        <w:r w:rsidRPr="00FE332B">
          <w:rPr>
            <w:rStyle w:val="Hyperlink"/>
            <w:rFonts w:ascii="Verdana" w:hAnsi="Verdana"/>
            <w:noProof/>
          </w:rPr>
          <w:t>1</w:t>
        </w:r>
        <w:r w:rsidRPr="00FE332B">
          <w:rPr>
            <w:rFonts w:ascii="Verdana" w:eastAsiaTheme="minorEastAsia" w:hAnsi="Verdana" w:cstheme="minorBidi"/>
            <w:noProof/>
            <w:sz w:val="22"/>
            <w:lang w:eastAsia="en-GB"/>
          </w:rPr>
          <w:tab/>
        </w:r>
        <w:r w:rsidRPr="00FE332B">
          <w:rPr>
            <w:rStyle w:val="Hyperlink"/>
            <w:rFonts w:ascii="Verdana" w:hAnsi="Verdana"/>
            <w:noProof/>
          </w:rPr>
          <w:t>Scope</w:t>
        </w:r>
        <w:r w:rsidRPr="00FE332B">
          <w:rPr>
            <w:rFonts w:ascii="Verdana" w:hAnsi="Verdana"/>
            <w:noProof/>
            <w:webHidden/>
          </w:rPr>
          <w:tab/>
        </w:r>
        <w:r w:rsidRPr="00FE332B">
          <w:rPr>
            <w:rFonts w:ascii="Verdana" w:hAnsi="Verdana"/>
            <w:noProof/>
            <w:webHidden/>
          </w:rPr>
          <w:fldChar w:fldCharType="begin"/>
        </w:r>
        <w:r w:rsidRPr="00FE332B">
          <w:rPr>
            <w:rFonts w:ascii="Verdana" w:hAnsi="Verdana"/>
            <w:noProof/>
            <w:webHidden/>
          </w:rPr>
          <w:instrText xml:space="preserve"> PAGEREF _Toc71705998 \h </w:instrText>
        </w:r>
        <w:r w:rsidRPr="00FE332B">
          <w:rPr>
            <w:rFonts w:ascii="Verdana" w:hAnsi="Verdana"/>
            <w:noProof/>
            <w:webHidden/>
          </w:rPr>
        </w:r>
        <w:r w:rsidRPr="00FE332B">
          <w:rPr>
            <w:rFonts w:ascii="Verdana" w:hAnsi="Verdana"/>
            <w:noProof/>
            <w:webHidden/>
          </w:rPr>
          <w:fldChar w:fldCharType="separate"/>
        </w:r>
        <w:r w:rsidR="00722BA9">
          <w:rPr>
            <w:rFonts w:ascii="Verdana" w:hAnsi="Verdana"/>
            <w:noProof/>
            <w:webHidden/>
          </w:rPr>
          <w:t>3</w:t>
        </w:r>
        <w:r w:rsidRPr="00FE332B">
          <w:rPr>
            <w:rFonts w:ascii="Verdana" w:hAnsi="Verdana"/>
            <w:noProof/>
            <w:webHidden/>
          </w:rPr>
          <w:fldChar w:fldCharType="end"/>
        </w:r>
      </w:hyperlink>
    </w:p>
    <w:p w14:paraId="61A9D843" w14:textId="2301A654" w:rsidR="00AA1420" w:rsidRPr="00FE332B" w:rsidRDefault="00AA1420">
      <w:pPr>
        <w:pStyle w:val="TOC1"/>
        <w:tabs>
          <w:tab w:val="left" w:pos="400"/>
          <w:tab w:val="right" w:leader="dot" w:pos="9016"/>
        </w:tabs>
        <w:rPr>
          <w:rFonts w:ascii="Verdana" w:eastAsiaTheme="minorEastAsia" w:hAnsi="Verdana" w:cstheme="minorBidi"/>
          <w:noProof/>
          <w:sz w:val="22"/>
          <w:lang w:eastAsia="en-GB"/>
        </w:rPr>
      </w:pPr>
      <w:hyperlink w:anchor="_Toc71705999" w:history="1">
        <w:r w:rsidRPr="00FE332B">
          <w:rPr>
            <w:rStyle w:val="Hyperlink"/>
            <w:rFonts w:ascii="Verdana" w:hAnsi="Verdana"/>
            <w:noProof/>
          </w:rPr>
          <w:t>2</w:t>
        </w:r>
        <w:r w:rsidRPr="00FE332B">
          <w:rPr>
            <w:rFonts w:ascii="Verdana" w:eastAsiaTheme="minorEastAsia" w:hAnsi="Verdana" w:cstheme="minorBidi"/>
            <w:noProof/>
            <w:sz w:val="22"/>
            <w:lang w:eastAsia="en-GB"/>
          </w:rPr>
          <w:tab/>
        </w:r>
        <w:r w:rsidRPr="00FE332B">
          <w:rPr>
            <w:rStyle w:val="Hyperlink"/>
            <w:rFonts w:ascii="Verdana" w:hAnsi="Verdana"/>
            <w:noProof/>
          </w:rPr>
          <w:t>Definitions</w:t>
        </w:r>
        <w:r w:rsidRPr="00FE332B">
          <w:rPr>
            <w:rFonts w:ascii="Verdana" w:hAnsi="Verdana"/>
            <w:noProof/>
            <w:webHidden/>
          </w:rPr>
          <w:tab/>
        </w:r>
        <w:r w:rsidRPr="00FE332B">
          <w:rPr>
            <w:rFonts w:ascii="Verdana" w:hAnsi="Verdana"/>
            <w:noProof/>
            <w:webHidden/>
          </w:rPr>
          <w:fldChar w:fldCharType="begin"/>
        </w:r>
        <w:r w:rsidRPr="00FE332B">
          <w:rPr>
            <w:rFonts w:ascii="Verdana" w:hAnsi="Verdana"/>
            <w:noProof/>
            <w:webHidden/>
          </w:rPr>
          <w:instrText xml:space="preserve"> PAGEREF _Toc71705999 \h </w:instrText>
        </w:r>
        <w:r w:rsidRPr="00FE332B">
          <w:rPr>
            <w:rFonts w:ascii="Verdana" w:hAnsi="Verdana"/>
            <w:noProof/>
            <w:webHidden/>
          </w:rPr>
        </w:r>
        <w:r w:rsidRPr="00FE332B">
          <w:rPr>
            <w:rFonts w:ascii="Verdana" w:hAnsi="Verdana"/>
            <w:noProof/>
            <w:webHidden/>
          </w:rPr>
          <w:fldChar w:fldCharType="separate"/>
        </w:r>
        <w:r w:rsidR="00722BA9">
          <w:rPr>
            <w:rFonts w:ascii="Verdana" w:hAnsi="Verdana"/>
            <w:noProof/>
            <w:webHidden/>
          </w:rPr>
          <w:t>3</w:t>
        </w:r>
        <w:r w:rsidRPr="00FE332B">
          <w:rPr>
            <w:rFonts w:ascii="Verdana" w:hAnsi="Verdana"/>
            <w:noProof/>
            <w:webHidden/>
          </w:rPr>
          <w:fldChar w:fldCharType="end"/>
        </w:r>
      </w:hyperlink>
    </w:p>
    <w:p w14:paraId="4BDA6C70" w14:textId="4769FF63" w:rsidR="00AA1420" w:rsidRPr="00FE332B" w:rsidRDefault="00AA1420">
      <w:pPr>
        <w:pStyle w:val="TOC1"/>
        <w:tabs>
          <w:tab w:val="left" w:pos="400"/>
          <w:tab w:val="right" w:leader="dot" w:pos="9016"/>
        </w:tabs>
        <w:rPr>
          <w:rFonts w:ascii="Verdana" w:eastAsiaTheme="minorEastAsia" w:hAnsi="Verdana" w:cstheme="minorBidi"/>
          <w:noProof/>
          <w:sz w:val="22"/>
          <w:lang w:eastAsia="en-GB"/>
        </w:rPr>
      </w:pPr>
      <w:hyperlink w:anchor="_Toc71706000" w:history="1">
        <w:r w:rsidRPr="00FE332B">
          <w:rPr>
            <w:rStyle w:val="Hyperlink"/>
            <w:rFonts w:ascii="Verdana" w:hAnsi="Verdana"/>
            <w:noProof/>
          </w:rPr>
          <w:t>3</w:t>
        </w:r>
        <w:r w:rsidRPr="00FE332B">
          <w:rPr>
            <w:rFonts w:ascii="Verdana" w:eastAsiaTheme="minorEastAsia" w:hAnsi="Verdana" w:cstheme="minorBidi"/>
            <w:noProof/>
            <w:sz w:val="22"/>
            <w:lang w:eastAsia="en-GB"/>
          </w:rPr>
          <w:tab/>
        </w:r>
        <w:r w:rsidRPr="00FE332B">
          <w:rPr>
            <w:rStyle w:val="Hyperlink"/>
            <w:rFonts w:ascii="Verdana" w:hAnsi="Verdana"/>
            <w:noProof/>
          </w:rPr>
          <w:t>Procedure Actions</w:t>
        </w:r>
        <w:r w:rsidRPr="00FE332B">
          <w:rPr>
            <w:rFonts w:ascii="Verdana" w:hAnsi="Verdana"/>
            <w:noProof/>
            <w:webHidden/>
          </w:rPr>
          <w:tab/>
        </w:r>
        <w:r w:rsidRPr="00FE332B">
          <w:rPr>
            <w:rFonts w:ascii="Verdana" w:hAnsi="Verdana"/>
            <w:noProof/>
            <w:webHidden/>
          </w:rPr>
          <w:fldChar w:fldCharType="begin"/>
        </w:r>
        <w:r w:rsidRPr="00FE332B">
          <w:rPr>
            <w:rFonts w:ascii="Verdana" w:hAnsi="Verdana"/>
            <w:noProof/>
            <w:webHidden/>
          </w:rPr>
          <w:instrText xml:space="preserve"> PAGEREF _Toc71706000 \h </w:instrText>
        </w:r>
        <w:r w:rsidRPr="00FE332B">
          <w:rPr>
            <w:rFonts w:ascii="Verdana" w:hAnsi="Verdana"/>
            <w:noProof/>
            <w:webHidden/>
          </w:rPr>
        </w:r>
        <w:r w:rsidRPr="00FE332B">
          <w:rPr>
            <w:rFonts w:ascii="Verdana" w:hAnsi="Verdana"/>
            <w:noProof/>
            <w:webHidden/>
          </w:rPr>
          <w:fldChar w:fldCharType="separate"/>
        </w:r>
        <w:r w:rsidR="00722BA9">
          <w:rPr>
            <w:rFonts w:ascii="Verdana" w:hAnsi="Verdana"/>
            <w:noProof/>
            <w:webHidden/>
          </w:rPr>
          <w:t>4</w:t>
        </w:r>
        <w:r w:rsidRPr="00FE332B">
          <w:rPr>
            <w:rFonts w:ascii="Verdana" w:hAnsi="Verdana"/>
            <w:noProof/>
            <w:webHidden/>
          </w:rPr>
          <w:fldChar w:fldCharType="end"/>
        </w:r>
      </w:hyperlink>
    </w:p>
    <w:p w14:paraId="157EE652" w14:textId="23DBC414" w:rsidR="00AA1420" w:rsidRPr="00FE332B" w:rsidRDefault="00AA1420">
      <w:pPr>
        <w:pStyle w:val="TOC2"/>
        <w:tabs>
          <w:tab w:val="left" w:pos="880"/>
          <w:tab w:val="right" w:leader="dot" w:pos="9016"/>
        </w:tabs>
        <w:rPr>
          <w:rFonts w:ascii="Verdana" w:eastAsiaTheme="minorEastAsia" w:hAnsi="Verdana" w:cstheme="minorBidi"/>
          <w:noProof/>
          <w:sz w:val="22"/>
          <w:lang w:eastAsia="en-GB"/>
        </w:rPr>
      </w:pPr>
      <w:hyperlink w:anchor="_Toc71706001" w:history="1">
        <w:r w:rsidRPr="00FE332B">
          <w:rPr>
            <w:rStyle w:val="Hyperlink"/>
            <w:rFonts w:ascii="Verdana" w:hAnsi="Verdana"/>
            <w:noProof/>
            <w:lang w:bidi="en-US"/>
          </w:rPr>
          <w:t>3.1</w:t>
        </w:r>
        <w:r w:rsidRPr="00FE332B">
          <w:rPr>
            <w:rFonts w:ascii="Verdana" w:eastAsiaTheme="minorEastAsia" w:hAnsi="Verdana" w:cstheme="minorBidi"/>
            <w:noProof/>
            <w:sz w:val="22"/>
            <w:lang w:eastAsia="en-GB"/>
          </w:rPr>
          <w:tab/>
        </w:r>
        <w:r w:rsidRPr="00FE332B">
          <w:rPr>
            <w:rStyle w:val="Hyperlink"/>
            <w:rFonts w:ascii="Verdana" w:hAnsi="Verdana"/>
            <w:noProof/>
            <w:lang w:bidi="en-US"/>
          </w:rPr>
          <w:t>CHD acceptance</w:t>
        </w:r>
        <w:r w:rsidRPr="00FE332B">
          <w:rPr>
            <w:rFonts w:ascii="Verdana" w:hAnsi="Verdana"/>
            <w:noProof/>
            <w:webHidden/>
          </w:rPr>
          <w:tab/>
        </w:r>
        <w:r w:rsidRPr="00FE332B">
          <w:rPr>
            <w:rFonts w:ascii="Verdana" w:hAnsi="Verdana"/>
            <w:noProof/>
            <w:webHidden/>
          </w:rPr>
          <w:fldChar w:fldCharType="begin"/>
        </w:r>
        <w:r w:rsidRPr="00FE332B">
          <w:rPr>
            <w:rFonts w:ascii="Verdana" w:hAnsi="Verdana"/>
            <w:noProof/>
            <w:webHidden/>
          </w:rPr>
          <w:instrText xml:space="preserve"> PAGEREF _Toc71706001 \h </w:instrText>
        </w:r>
        <w:r w:rsidRPr="00FE332B">
          <w:rPr>
            <w:rFonts w:ascii="Verdana" w:hAnsi="Verdana"/>
            <w:noProof/>
            <w:webHidden/>
          </w:rPr>
        </w:r>
        <w:r w:rsidRPr="00FE332B">
          <w:rPr>
            <w:rFonts w:ascii="Verdana" w:hAnsi="Verdana"/>
            <w:noProof/>
            <w:webHidden/>
          </w:rPr>
          <w:fldChar w:fldCharType="separate"/>
        </w:r>
        <w:r w:rsidR="00722BA9">
          <w:rPr>
            <w:rFonts w:ascii="Verdana" w:hAnsi="Verdana"/>
            <w:noProof/>
            <w:webHidden/>
          </w:rPr>
          <w:t>4</w:t>
        </w:r>
        <w:r w:rsidRPr="00FE332B">
          <w:rPr>
            <w:rFonts w:ascii="Verdana" w:hAnsi="Verdana"/>
            <w:noProof/>
            <w:webHidden/>
          </w:rPr>
          <w:fldChar w:fldCharType="end"/>
        </w:r>
      </w:hyperlink>
    </w:p>
    <w:p w14:paraId="4056A544" w14:textId="6CED9A9E" w:rsidR="00AA1420" w:rsidRPr="00FE332B" w:rsidRDefault="00AA1420">
      <w:pPr>
        <w:pStyle w:val="TOC2"/>
        <w:tabs>
          <w:tab w:val="left" w:pos="880"/>
          <w:tab w:val="right" w:leader="dot" w:pos="9016"/>
        </w:tabs>
        <w:rPr>
          <w:rFonts w:ascii="Verdana" w:eastAsiaTheme="minorEastAsia" w:hAnsi="Verdana" w:cstheme="minorBidi"/>
          <w:noProof/>
          <w:sz w:val="22"/>
          <w:lang w:eastAsia="en-GB"/>
        </w:rPr>
      </w:pPr>
      <w:hyperlink w:anchor="_Toc71706002" w:history="1">
        <w:r w:rsidRPr="00FE332B">
          <w:rPr>
            <w:rStyle w:val="Hyperlink"/>
            <w:rFonts w:ascii="Verdana" w:hAnsi="Verdana"/>
            <w:noProof/>
            <w:lang w:bidi="en-US"/>
          </w:rPr>
          <w:t>3.2</w:t>
        </w:r>
        <w:r w:rsidRPr="00FE332B">
          <w:rPr>
            <w:rFonts w:ascii="Verdana" w:eastAsiaTheme="minorEastAsia" w:hAnsi="Verdana" w:cstheme="minorBidi"/>
            <w:noProof/>
            <w:sz w:val="22"/>
            <w:lang w:eastAsia="en-GB"/>
          </w:rPr>
          <w:tab/>
        </w:r>
        <w:r w:rsidRPr="00FE332B">
          <w:rPr>
            <w:rStyle w:val="Hyperlink"/>
            <w:rFonts w:ascii="Verdana" w:hAnsi="Verdana"/>
            <w:noProof/>
            <w:lang w:bidi="en-US"/>
          </w:rPr>
          <w:t>Data at rest</w:t>
        </w:r>
        <w:r w:rsidRPr="00FE332B">
          <w:rPr>
            <w:rFonts w:ascii="Verdana" w:hAnsi="Verdana"/>
            <w:noProof/>
            <w:webHidden/>
          </w:rPr>
          <w:tab/>
        </w:r>
        <w:r w:rsidRPr="00FE332B">
          <w:rPr>
            <w:rFonts w:ascii="Verdana" w:hAnsi="Verdana"/>
            <w:noProof/>
            <w:webHidden/>
          </w:rPr>
          <w:fldChar w:fldCharType="begin"/>
        </w:r>
        <w:r w:rsidRPr="00FE332B">
          <w:rPr>
            <w:rFonts w:ascii="Verdana" w:hAnsi="Verdana"/>
            <w:noProof/>
            <w:webHidden/>
          </w:rPr>
          <w:instrText xml:space="preserve"> PAGEREF _Toc71706002 \h </w:instrText>
        </w:r>
        <w:r w:rsidRPr="00FE332B">
          <w:rPr>
            <w:rFonts w:ascii="Verdana" w:hAnsi="Verdana"/>
            <w:noProof/>
            <w:webHidden/>
          </w:rPr>
        </w:r>
        <w:r w:rsidRPr="00FE332B">
          <w:rPr>
            <w:rFonts w:ascii="Verdana" w:hAnsi="Verdana"/>
            <w:noProof/>
            <w:webHidden/>
          </w:rPr>
          <w:fldChar w:fldCharType="separate"/>
        </w:r>
        <w:r w:rsidR="00722BA9">
          <w:rPr>
            <w:rFonts w:ascii="Verdana" w:hAnsi="Verdana"/>
            <w:noProof/>
            <w:webHidden/>
          </w:rPr>
          <w:t>5</w:t>
        </w:r>
        <w:r w:rsidRPr="00FE332B">
          <w:rPr>
            <w:rFonts w:ascii="Verdana" w:hAnsi="Verdana"/>
            <w:noProof/>
            <w:webHidden/>
          </w:rPr>
          <w:fldChar w:fldCharType="end"/>
        </w:r>
      </w:hyperlink>
    </w:p>
    <w:p w14:paraId="570EF47F" w14:textId="3D178EB7" w:rsidR="00AA1420" w:rsidRPr="00FE332B" w:rsidRDefault="00AA1420">
      <w:pPr>
        <w:pStyle w:val="TOC2"/>
        <w:tabs>
          <w:tab w:val="left" w:pos="880"/>
          <w:tab w:val="right" w:leader="dot" w:pos="9016"/>
        </w:tabs>
        <w:rPr>
          <w:rFonts w:ascii="Verdana" w:eastAsiaTheme="minorEastAsia" w:hAnsi="Verdana" w:cstheme="minorBidi"/>
          <w:noProof/>
          <w:sz w:val="22"/>
          <w:lang w:eastAsia="en-GB"/>
        </w:rPr>
      </w:pPr>
      <w:hyperlink w:anchor="_Toc71706003" w:history="1">
        <w:r w:rsidRPr="00FE332B">
          <w:rPr>
            <w:rStyle w:val="Hyperlink"/>
            <w:rFonts w:ascii="Verdana" w:hAnsi="Verdana"/>
            <w:noProof/>
            <w:lang w:bidi="en-US"/>
          </w:rPr>
          <w:t>3.3</w:t>
        </w:r>
        <w:r w:rsidRPr="00FE332B">
          <w:rPr>
            <w:rFonts w:ascii="Verdana" w:eastAsiaTheme="minorEastAsia" w:hAnsi="Verdana" w:cstheme="minorBidi"/>
            <w:noProof/>
            <w:sz w:val="22"/>
            <w:lang w:eastAsia="en-GB"/>
          </w:rPr>
          <w:tab/>
        </w:r>
        <w:r w:rsidRPr="00FE332B">
          <w:rPr>
            <w:rStyle w:val="Hyperlink"/>
            <w:rFonts w:ascii="Verdana" w:hAnsi="Verdana"/>
            <w:noProof/>
            <w:lang w:bidi="en-US"/>
          </w:rPr>
          <w:t>Data in transit</w:t>
        </w:r>
        <w:r w:rsidRPr="00FE332B">
          <w:rPr>
            <w:rFonts w:ascii="Verdana" w:hAnsi="Verdana"/>
            <w:noProof/>
            <w:webHidden/>
          </w:rPr>
          <w:tab/>
        </w:r>
        <w:r w:rsidRPr="00FE332B">
          <w:rPr>
            <w:rFonts w:ascii="Verdana" w:hAnsi="Verdana"/>
            <w:noProof/>
            <w:webHidden/>
          </w:rPr>
          <w:fldChar w:fldCharType="begin"/>
        </w:r>
        <w:r w:rsidRPr="00FE332B">
          <w:rPr>
            <w:rFonts w:ascii="Verdana" w:hAnsi="Verdana"/>
            <w:noProof/>
            <w:webHidden/>
          </w:rPr>
          <w:instrText xml:space="preserve"> PAGEREF _Toc71706003 \h </w:instrText>
        </w:r>
        <w:r w:rsidRPr="00FE332B">
          <w:rPr>
            <w:rFonts w:ascii="Verdana" w:hAnsi="Verdana"/>
            <w:noProof/>
            <w:webHidden/>
          </w:rPr>
        </w:r>
        <w:r w:rsidRPr="00FE332B">
          <w:rPr>
            <w:rFonts w:ascii="Verdana" w:hAnsi="Verdana"/>
            <w:noProof/>
            <w:webHidden/>
          </w:rPr>
          <w:fldChar w:fldCharType="separate"/>
        </w:r>
        <w:r w:rsidR="00722BA9">
          <w:rPr>
            <w:rFonts w:ascii="Verdana" w:hAnsi="Verdana"/>
            <w:noProof/>
            <w:webHidden/>
          </w:rPr>
          <w:t>5</w:t>
        </w:r>
        <w:r w:rsidRPr="00FE332B">
          <w:rPr>
            <w:rFonts w:ascii="Verdana" w:hAnsi="Verdana"/>
            <w:noProof/>
            <w:webHidden/>
          </w:rPr>
          <w:fldChar w:fldCharType="end"/>
        </w:r>
      </w:hyperlink>
    </w:p>
    <w:p w14:paraId="73C6A152" w14:textId="3F08D7C2" w:rsidR="00AA1420" w:rsidRPr="00FE332B" w:rsidRDefault="00AA1420">
      <w:pPr>
        <w:pStyle w:val="TOC2"/>
        <w:tabs>
          <w:tab w:val="left" w:pos="880"/>
          <w:tab w:val="right" w:leader="dot" w:pos="9016"/>
        </w:tabs>
        <w:rPr>
          <w:rFonts w:ascii="Verdana" w:eastAsiaTheme="minorEastAsia" w:hAnsi="Verdana" w:cstheme="minorBidi"/>
          <w:noProof/>
          <w:sz w:val="22"/>
          <w:lang w:eastAsia="en-GB"/>
        </w:rPr>
      </w:pPr>
      <w:hyperlink w:anchor="_Toc71706004" w:history="1">
        <w:r w:rsidRPr="00FE332B">
          <w:rPr>
            <w:rStyle w:val="Hyperlink"/>
            <w:rFonts w:ascii="Verdana" w:hAnsi="Verdana"/>
            <w:noProof/>
            <w:lang w:bidi="en-US"/>
          </w:rPr>
          <w:t>3.4</w:t>
        </w:r>
        <w:r w:rsidRPr="00FE332B">
          <w:rPr>
            <w:rFonts w:ascii="Verdana" w:eastAsiaTheme="minorEastAsia" w:hAnsi="Verdana" w:cstheme="minorBidi"/>
            <w:noProof/>
            <w:sz w:val="22"/>
            <w:lang w:eastAsia="en-GB"/>
          </w:rPr>
          <w:tab/>
        </w:r>
        <w:r w:rsidRPr="00FE332B">
          <w:rPr>
            <w:rStyle w:val="Hyperlink"/>
            <w:rFonts w:ascii="Verdana" w:hAnsi="Verdana"/>
            <w:noProof/>
            <w:lang w:bidi="en-US"/>
          </w:rPr>
          <w:t>Unsolicited CHD</w:t>
        </w:r>
        <w:r w:rsidRPr="00FE332B">
          <w:rPr>
            <w:rFonts w:ascii="Verdana" w:hAnsi="Verdana"/>
            <w:noProof/>
            <w:webHidden/>
          </w:rPr>
          <w:tab/>
        </w:r>
        <w:r w:rsidRPr="00FE332B">
          <w:rPr>
            <w:rFonts w:ascii="Verdana" w:hAnsi="Verdana"/>
            <w:noProof/>
            <w:webHidden/>
          </w:rPr>
          <w:fldChar w:fldCharType="begin"/>
        </w:r>
        <w:r w:rsidRPr="00FE332B">
          <w:rPr>
            <w:rFonts w:ascii="Verdana" w:hAnsi="Verdana"/>
            <w:noProof/>
            <w:webHidden/>
          </w:rPr>
          <w:instrText xml:space="preserve"> PAGEREF _Toc71706004 \h </w:instrText>
        </w:r>
        <w:r w:rsidRPr="00FE332B">
          <w:rPr>
            <w:rFonts w:ascii="Verdana" w:hAnsi="Verdana"/>
            <w:noProof/>
            <w:webHidden/>
          </w:rPr>
        </w:r>
        <w:r w:rsidRPr="00FE332B">
          <w:rPr>
            <w:rFonts w:ascii="Verdana" w:hAnsi="Verdana"/>
            <w:noProof/>
            <w:webHidden/>
          </w:rPr>
          <w:fldChar w:fldCharType="separate"/>
        </w:r>
        <w:r w:rsidR="00722BA9">
          <w:rPr>
            <w:rFonts w:ascii="Verdana" w:hAnsi="Verdana"/>
            <w:noProof/>
            <w:webHidden/>
          </w:rPr>
          <w:t>7</w:t>
        </w:r>
        <w:r w:rsidRPr="00FE332B">
          <w:rPr>
            <w:rFonts w:ascii="Verdana" w:hAnsi="Verdana"/>
            <w:noProof/>
            <w:webHidden/>
          </w:rPr>
          <w:fldChar w:fldCharType="end"/>
        </w:r>
      </w:hyperlink>
    </w:p>
    <w:p w14:paraId="2627CA4A" w14:textId="1D4A1FA8" w:rsidR="00AA1420" w:rsidRPr="00FE332B" w:rsidRDefault="00AA1420">
      <w:pPr>
        <w:pStyle w:val="TOC1"/>
        <w:tabs>
          <w:tab w:val="left" w:pos="400"/>
          <w:tab w:val="right" w:leader="dot" w:pos="9016"/>
        </w:tabs>
        <w:rPr>
          <w:rFonts w:ascii="Verdana" w:eastAsiaTheme="minorEastAsia" w:hAnsi="Verdana" w:cstheme="minorBidi"/>
          <w:noProof/>
          <w:sz w:val="22"/>
          <w:lang w:eastAsia="en-GB"/>
        </w:rPr>
      </w:pPr>
      <w:hyperlink w:anchor="_Toc71706005" w:history="1">
        <w:r w:rsidRPr="00FE332B">
          <w:rPr>
            <w:rStyle w:val="Hyperlink"/>
            <w:rFonts w:ascii="Verdana" w:hAnsi="Verdana"/>
            <w:noProof/>
          </w:rPr>
          <w:t>4</w:t>
        </w:r>
        <w:r w:rsidRPr="00FE332B">
          <w:rPr>
            <w:rFonts w:ascii="Verdana" w:eastAsiaTheme="minorEastAsia" w:hAnsi="Verdana" w:cstheme="minorBidi"/>
            <w:noProof/>
            <w:sz w:val="22"/>
            <w:lang w:eastAsia="en-GB"/>
          </w:rPr>
          <w:tab/>
        </w:r>
        <w:r w:rsidRPr="00FE332B">
          <w:rPr>
            <w:rStyle w:val="Hyperlink"/>
            <w:rFonts w:ascii="Verdana" w:hAnsi="Verdana"/>
            <w:noProof/>
          </w:rPr>
          <w:t>Document Management</w:t>
        </w:r>
        <w:r w:rsidRPr="00FE332B">
          <w:rPr>
            <w:rFonts w:ascii="Verdana" w:hAnsi="Verdana"/>
            <w:noProof/>
            <w:webHidden/>
          </w:rPr>
          <w:tab/>
        </w:r>
        <w:r w:rsidRPr="00FE332B">
          <w:rPr>
            <w:rFonts w:ascii="Verdana" w:hAnsi="Verdana"/>
            <w:noProof/>
            <w:webHidden/>
          </w:rPr>
          <w:fldChar w:fldCharType="begin"/>
        </w:r>
        <w:r w:rsidRPr="00FE332B">
          <w:rPr>
            <w:rFonts w:ascii="Verdana" w:hAnsi="Verdana"/>
            <w:noProof/>
            <w:webHidden/>
          </w:rPr>
          <w:instrText xml:space="preserve"> PAGEREF _Toc71706005 \h </w:instrText>
        </w:r>
        <w:r w:rsidRPr="00FE332B">
          <w:rPr>
            <w:rFonts w:ascii="Verdana" w:hAnsi="Verdana"/>
            <w:noProof/>
            <w:webHidden/>
          </w:rPr>
        </w:r>
        <w:r w:rsidRPr="00FE332B">
          <w:rPr>
            <w:rFonts w:ascii="Verdana" w:hAnsi="Verdana"/>
            <w:noProof/>
            <w:webHidden/>
          </w:rPr>
          <w:fldChar w:fldCharType="separate"/>
        </w:r>
        <w:r w:rsidR="00722BA9">
          <w:rPr>
            <w:rFonts w:ascii="Verdana" w:hAnsi="Verdana"/>
            <w:noProof/>
            <w:webHidden/>
          </w:rPr>
          <w:t>8</w:t>
        </w:r>
        <w:r w:rsidRPr="00FE332B">
          <w:rPr>
            <w:rFonts w:ascii="Verdana" w:hAnsi="Verdana"/>
            <w:noProof/>
            <w:webHidden/>
          </w:rPr>
          <w:fldChar w:fldCharType="end"/>
        </w:r>
      </w:hyperlink>
    </w:p>
    <w:p w14:paraId="5F884A54" w14:textId="715D36B4" w:rsidR="00AA1420" w:rsidRPr="00FE332B" w:rsidRDefault="00AA1420">
      <w:pPr>
        <w:pStyle w:val="TOC2"/>
        <w:tabs>
          <w:tab w:val="left" w:pos="880"/>
          <w:tab w:val="right" w:leader="dot" w:pos="9016"/>
        </w:tabs>
        <w:rPr>
          <w:rFonts w:ascii="Verdana" w:eastAsiaTheme="minorEastAsia" w:hAnsi="Verdana" w:cstheme="minorBidi"/>
          <w:noProof/>
          <w:sz w:val="22"/>
          <w:lang w:eastAsia="en-GB"/>
        </w:rPr>
      </w:pPr>
      <w:hyperlink w:anchor="_Toc71706006" w:history="1">
        <w:r w:rsidRPr="00FE332B">
          <w:rPr>
            <w:rStyle w:val="Hyperlink"/>
            <w:rFonts w:ascii="Verdana" w:eastAsia="Verdana" w:hAnsi="Verdana"/>
            <w:noProof/>
            <w:lang w:val="en-US"/>
          </w:rPr>
          <w:t>4.1</w:t>
        </w:r>
        <w:r w:rsidRPr="00FE332B">
          <w:rPr>
            <w:rFonts w:ascii="Verdana" w:eastAsiaTheme="minorEastAsia" w:hAnsi="Verdana" w:cstheme="minorBidi"/>
            <w:noProof/>
            <w:sz w:val="22"/>
            <w:lang w:eastAsia="en-GB"/>
          </w:rPr>
          <w:tab/>
        </w:r>
        <w:r w:rsidRPr="00FE332B">
          <w:rPr>
            <w:rStyle w:val="Hyperlink"/>
            <w:rFonts w:ascii="Verdana" w:eastAsia="Verdana" w:hAnsi="Verdana"/>
            <w:noProof/>
            <w:lang w:val="en-US"/>
          </w:rPr>
          <w:t>Document Owner and Approval</w:t>
        </w:r>
        <w:r w:rsidRPr="00FE332B">
          <w:rPr>
            <w:rFonts w:ascii="Verdana" w:hAnsi="Verdana"/>
            <w:noProof/>
            <w:webHidden/>
          </w:rPr>
          <w:tab/>
        </w:r>
        <w:r w:rsidRPr="00FE332B">
          <w:rPr>
            <w:rFonts w:ascii="Verdana" w:hAnsi="Verdana"/>
            <w:noProof/>
            <w:webHidden/>
          </w:rPr>
          <w:fldChar w:fldCharType="begin"/>
        </w:r>
        <w:r w:rsidRPr="00FE332B">
          <w:rPr>
            <w:rFonts w:ascii="Verdana" w:hAnsi="Verdana"/>
            <w:noProof/>
            <w:webHidden/>
          </w:rPr>
          <w:instrText xml:space="preserve"> PAGEREF _Toc71706006 \h </w:instrText>
        </w:r>
        <w:r w:rsidRPr="00FE332B">
          <w:rPr>
            <w:rFonts w:ascii="Verdana" w:hAnsi="Verdana"/>
            <w:noProof/>
            <w:webHidden/>
          </w:rPr>
        </w:r>
        <w:r w:rsidRPr="00FE332B">
          <w:rPr>
            <w:rFonts w:ascii="Verdana" w:hAnsi="Verdana"/>
            <w:noProof/>
            <w:webHidden/>
          </w:rPr>
          <w:fldChar w:fldCharType="separate"/>
        </w:r>
        <w:r w:rsidR="00722BA9">
          <w:rPr>
            <w:rFonts w:ascii="Verdana" w:hAnsi="Verdana"/>
            <w:noProof/>
            <w:webHidden/>
          </w:rPr>
          <w:t>8</w:t>
        </w:r>
        <w:r w:rsidRPr="00FE332B">
          <w:rPr>
            <w:rFonts w:ascii="Verdana" w:hAnsi="Verdana"/>
            <w:noProof/>
            <w:webHidden/>
          </w:rPr>
          <w:fldChar w:fldCharType="end"/>
        </w:r>
      </w:hyperlink>
    </w:p>
    <w:p w14:paraId="0A98635E" w14:textId="04DA71E6" w:rsidR="00AA1420" w:rsidRDefault="00AA1420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1706007" w:history="1">
        <w:r w:rsidRPr="00FE332B">
          <w:rPr>
            <w:rStyle w:val="Hyperlink"/>
            <w:rFonts w:ascii="Verdana" w:hAnsi="Verdana"/>
            <w:noProof/>
          </w:rPr>
          <w:t>4.2</w:t>
        </w:r>
        <w:r w:rsidRPr="00FE332B">
          <w:rPr>
            <w:rFonts w:ascii="Verdana" w:eastAsiaTheme="minorEastAsia" w:hAnsi="Verdana" w:cstheme="minorBidi"/>
            <w:noProof/>
            <w:sz w:val="22"/>
            <w:lang w:eastAsia="en-GB"/>
          </w:rPr>
          <w:tab/>
        </w:r>
        <w:r w:rsidRPr="00FE332B">
          <w:rPr>
            <w:rStyle w:val="Hyperlink"/>
            <w:rFonts w:ascii="Verdana" w:hAnsi="Verdana"/>
            <w:noProof/>
          </w:rPr>
          <w:t>Change History Record</w:t>
        </w:r>
        <w:r w:rsidRPr="00FE332B">
          <w:rPr>
            <w:rFonts w:ascii="Verdana" w:hAnsi="Verdana"/>
            <w:noProof/>
            <w:webHidden/>
          </w:rPr>
          <w:tab/>
        </w:r>
        <w:r w:rsidRPr="00FE332B">
          <w:rPr>
            <w:rFonts w:ascii="Verdana" w:hAnsi="Verdana"/>
            <w:noProof/>
            <w:webHidden/>
          </w:rPr>
          <w:fldChar w:fldCharType="begin"/>
        </w:r>
        <w:r w:rsidRPr="00FE332B">
          <w:rPr>
            <w:rFonts w:ascii="Verdana" w:hAnsi="Verdana"/>
            <w:noProof/>
            <w:webHidden/>
          </w:rPr>
          <w:instrText xml:space="preserve"> PAGEREF _Toc71706007 \h </w:instrText>
        </w:r>
        <w:r w:rsidRPr="00FE332B">
          <w:rPr>
            <w:rFonts w:ascii="Verdana" w:hAnsi="Verdana"/>
            <w:noProof/>
            <w:webHidden/>
          </w:rPr>
        </w:r>
        <w:r w:rsidRPr="00FE332B">
          <w:rPr>
            <w:rFonts w:ascii="Verdana" w:hAnsi="Verdana"/>
            <w:noProof/>
            <w:webHidden/>
          </w:rPr>
          <w:fldChar w:fldCharType="separate"/>
        </w:r>
        <w:r w:rsidR="00722BA9">
          <w:rPr>
            <w:rFonts w:ascii="Verdana" w:hAnsi="Verdana"/>
            <w:noProof/>
            <w:webHidden/>
          </w:rPr>
          <w:t>8</w:t>
        </w:r>
        <w:r w:rsidRPr="00FE332B">
          <w:rPr>
            <w:rFonts w:ascii="Verdana" w:hAnsi="Verdana"/>
            <w:noProof/>
            <w:webHidden/>
          </w:rPr>
          <w:fldChar w:fldCharType="end"/>
        </w:r>
      </w:hyperlink>
    </w:p>
    <w:p w14:paraId="615E9E18" w14:textId="575DDD81" w:rsidR="00C40CF5" w:rsidRPr="00E85371" w:rsidRDefault="006917F0">
      <w:pPr>
        <w:rPr>
          <w:rFonts w:ascii="Verdana" w:hAnsi="Verdana"/>
        </w:rPr>
      </w:pPr>
      <w:r w:rsidRPr="00D00B5F">
        <w:rPr>
          <w:rFonts w:ascii="Verdana" w:hAnsi="Verdana"/>
        </w:rPr>
        <w:fldChar w:fldCharType="end"/>
      </w:r>
    </w:p>
    <w:p w14:paraId="05E3F6E8" w14:textId="77777777" w:rsidR="00B12D0B" w:rsidRPr="00E85371" w:rsidRDefault="00BF415A" w:rsidP="008D1A7C">
      <w:pPr>
        <w:pStyle w:val="Heading1"/>
        <w:numPr>
          <w:ilvl w:val="0"/>
          <w:numId w:val="0"/>
        </w:numPr>
      </w:pPr>
      <w:r w:rsidRPr="00E85371">
        <w:rPr>
          <w:rFonts w:ascii="Verdana" w:hAnsi="Verdana"/>
        </w:rPr>
        <w:br w:type="page"/>
      </w:r>
      <w:bookmarkStart w:id="0" w:name="_Toc71705997"/>
      <w:r w:rsidR="00B12D0B" w:rsidRPr="00E85371">
        <w:lastRenderedPageBreak/>
        <w:t>Purpose</w:t>
      </w:r>
      <w:bookmarkEnd w:id="0"/>
    </w:p>
    <w:p w14:paraId="1583E33F" w14:textId="77777777" w:rsidR="00A83965" w:rsidRPr="00E85371" w:rsidRDefault="00A83965" w:rsidP="00A83965">
      <w:pPr>
        <w:rPr>
          <w:rFonts w:ascii="Verdana" w:hAnsi="Verdana"/>
        </w:rPr>
      </w:pPr>
      <w:r w:rsidRPr="00E85371">
        <w:rPr>
          <w:rFonts w:ascii="Verdana" w:hAnsi="Verdana"/>
        </w:rPr>
        <w:br/>
        <w:t>To provide a set of procedures to support the handling of cardholder data</w:t>
      </w:r>
      <w:r w:rsidR="00616597">
        <w:rPr>
          <w:rFonts w:ascii="Verdana" w:hAnsi="Verdana"/>
        </w:rPr>
        <w:t xml:space="preserve"> (CHD)</w:t>
      </w:r>
      <w:r w:rsidRPr="00E85371">
        <w:rPr>
          <w:rFonts w:ascii="Verdana" w:hAnsi="Verdana"/>
        </w:rPr>
        <w:t xml:space="preserve"> </w:t>
      </w:r>
      <w:r w:rsidR="0067069C">
        <w:rPr>
          <w:rFonts w:ascii="Verdana" w:hAnsi="Verdana"/>
        </w:rPr>
        <w:t>during</w:t>
      </w:r>
      <w:r w:rsidRPr="00E85371">
        <w:rPr>
          <w:rFonts w:ascii="Verdana" w:hAnsi="Verdana"/>
        </w:rPr>
        <w:t xml:space="preserve"> accept</w:t>
      </w:r>
      <w:r w:rsidR="0067069C">
        <w:rPr>
          <w:rFonts w:ascii="Verdana" w:hAnsi="Verdana"/>
        </w:rPr>
        <w:t>ance,</w:t>
      </w:r>
      <w:r w:rsidRPr="00E85371">
        <w:rPr>
          <w:rFonts w:ascii="Verdana" w:hAnsi="Verdana"/>
        </w:rPr>
        <w:t xml:space="preserve"> or </w:t>
      </w:r>
      <w:r w:rsidR="00616597">
        <w:rPr>
          <w:rFonts w:ascii="Verdana" w:hAnsi="Verdana"/>
        </w:rPr>
        <w:t xml:space="preserve">while </w:t>
      </w:r>
      <w:r w:rsidR="0067069C">
        <w:rPr>
          <w:rFonts w:ascii="Verdana" w:hAnsi="Verdana"/>
        </w:rPr>
        <w:t xml:space="preserve">being </w:t>
      </w:r>
      <w:r w:rsidR="008D1A7C">
        <w:rPr>
          <w:rFonts w:ascii="Verdana" w:hAnsi="Verdana"/>
        </w:rPr>
        <w:t>processed within Imperial College London (“Imperial”)</w:t>
      </w:r>
      <w:r w:rsidRPr="00E85371">
        <w:rPr>
          <w:rFonts w:ascii="Verdana" w:hAnsi="Verdana"/>
        </w:rPr>
        <w:t xml:space="preserve">. </w:t>
      </w:r>
      <w:r w:rsidR="00DE069B" w:rsidRPr="00E85371">
        <w:rPr>
          <w:rFonts w:ascii="Verdana" w:hAnsi="Verdana"/>
        </w:rPr>
        <w:t>This</w:t>
      </w:r>
      <w:r w:rsidR="0091668E" w:rsidRPr="00E85371">
        <w:rPr>
          <w:rFonts w:ascii="Verdana" w:hAnsi="Verdana"/>
        </w:rPr>
        <w:t xml:space="preserve"> is</w:t>
      </w:r>
      <w:r w:rsidR="00DE069B" w:rsidRPr="00E85371">
        <w:rPr>
          <w:rFonts w:ascii="Verdana" w:hAnsi="Verdana"/>
        </w:rPr>
        <w:t xml:space="preserve"> intended as a set of general procedures and actions that apply </w:t>
      </w:r>
      <w:r w:rsidR="00616597">
        <w:rPr>
          <w:rFonts w:ascii="Verdana" w:hAnsi="Verdana"/>
        </w:rPr>
        <w:t xml:space="preserve">to CHD </w:t>
      </w:r>
      <w:r w:rsidR="00DE069B" w:rsidRPr="00E85371">
        <w:rPr>
          <w:rFonts w:ascii="Verdana" w:hAnsi="Verdana"/>
        </w:rPr>
        <w:t xml:space="preserve">processing </w:t>
      </w:r>
      <w:r w:rsidR="006B5FAA">
        <w:rPr>
          <w:rFonts w:ascii="Verdana" w:hAnsi="Verdana"/>
        </w:rPr>
        <w:t>which</w:t>
      </w:r>
      <w:r w:rsidR="00DE069B" w:rsidRPr="00E85371">
        <w:rPr>
          <w:rFonts w:ascii="Verdana" w:hAnsi="Verdana"/>
        </w:rPr>
        <w:t xml:space="preserve"> supplement the </w:t>
      </w:r>
      <w:r w:rsidR="008D1A7C">
        <w:rPr>
          <w:rFonts w:ascii="Verdana" w:hAnsi="Verdana"/>
        </w:rPr>
        <w:t>Payment Information</w:t>
      </w:r>
      <w:r w:rsidR="00354F99" w:rsidRPr="00E85371">
        <w:rPr>
          <w:rFonts w:ascii="Verdana" w:hAnsi="Verdana"/>
        </w:rPr>
        <w:t xml:space="preserve"> Security Policy</w:t>
      </w:r>
      <w:r w:rsidR="006B5FAA">
        <w:rPr>
          <w:rFonts w:ascii="Verdana" w:hAnsi="Verdana"/>
        </w:rPr>
        <w:t xml:space="preserve"> and adhere to the requirements of the Payment Card Industry Data Security Standard (PCI DSS)</w:t>
      </w:r>
      <w:r w:rsidR="00DE069B" w:rsidRPr="00E85371">
        <w:rPr>
          <w:rFonts w:ascii="Verdana" w:hAnsi="Verdana"/>
        </w:rPr>
        <w:t>.</w:t>
      </w:r>
    </w:p>
    <w:p w14:paraId="7FB1ADDE" w14:textId="77777777" w:rsidR="00B12D0B" w:rsidRPr="00E85371" w:rsidRDefault="00DE069B" w:rsidP="00B12D0B">
      <w:pPr>
        <w:rPr>
          <w:rFonts w:ascii="Verdana" w:hAnsi="Verdana"/>
        </w:rPr>
      </w:pPr>
      <w:r w:rsidRPr="00E85371">
        <w:rPr>
          <w:rFonts w:ascii="Verdana" w:hAnsi="Verdana"/>
        </w:rPr>
        <w:t>C</w:t>
      </w:r>
      <w:r w:rsidR="00616597">
        <w:rPr>
          <w:rFonts w:ascii="Verdana" w:hAnsi="Verdana"/>
        </w:rPr>
        <w:t>HD</w:t>
      </w:r>
      <w:r w:rsidRPr="00E85371">
        <w:rPr>
          <w:rFonts w:ascii="Verdana" w:hAnsi="Verdana"/>
        </w:rPr>
        <w:t xml:space="preserve"> is desirable data that can be exploited for criminal gain if it falls into the wrong hands. Previous data breaches </w:t>
      </w:r>
      <w:r w:rsidR="00837B9C" w:rsidRPr="00E85371">
        <w:rPr>
          <w:rFonts w:ascii="Verdana" w:hAnsi="Verdana"/>
        </w:rPr>
        <w:t xml:space="preserve">across many sectors </w:t>
      </w:r>
      <w:r w:rsidRPr="00E85371">
        <w:rPr>
          <w:rFonts w:ascii="Verdana" w:hAnsi="Verdana"/>
        </w:rPr>
        <w:t xml:space="preserve">have identified that </w:t>
      </w:r>
      <w:r w:rsidR="00476EC8">
        <w:rPr>
          <w:rFonts w:ascii="Verdana" w:hAnsi="Verdana"/>
        </w:rPr>
        <w:t xml:space="preserve">a </w:t>
      </w:r>
      <w:r w:rsidRPr="00E85371">
        <w:rPr>
          <w:rFonts w:ascii="Verdana" w:hAnsi="Verdana"/>
        </w:rPr>
        <w:t>lack of guidelines</w:t>
      </w:r>
      <w:r w:rsidR="00476EC8">
        <w:rPr>
          <w:rFonts w:ascii="Verdana" w:hAnsi="Verdana"/>
        </w:rPr>
        <w:t xml:space="preserve"> or the existence of weak procedures</w:t>
      </w:r>
      <w:r w:rsidR="0067069C">
        <w:rPr>
          <w:rFonts w:ascii="Verdana" w:hAnsi="Verdana"/>
        </w:rPr>
        <w:t>,</w:t>
      </w:r>
      <w:r w:rsidRPr="00E85371">
        <w:rPr>
          <w:rFonts w:ascii="Verdana" w:hAnsi="Verdana"/>
        </w:rPr>
        <w:t xml:space="preserve"> ha</w:t>
      </w:r>
      <w:r w:rsidR="00476EC8">
        <w:rPr>
          <w:rFonts w:ascii="Verdana" w:hAnsi="Verdana"/>
        </w:rPr>
        <w:t>ve</w:t>
      </w:r>
      <w:r w:rsidRPr="00E85371">
        <w:rPr>
          <w:rFonts w:ascii="Verdana" w:hAnsi="Verdana"/>
        </w:rPr>
        <w:t xml:space="preserve"> resulted in the unintentional disclosure of </w:t>
      </w:r>
      <w:r w:rsidR="00A72A4E">
        <w:rPr>
          <w:rFonts w:ascii="Verdana" w:hAnsi="Verdana"/>
        </w:rPr>
        <w:t>CHD</w:t>
      </w:r>
      <w:r w:rsidR="00476EC8">
        <w:rPr>
          <w:rFonts w:ascii="Verdana" w:hAnsi="Verdana"/>
        </w:rPr>
        <w:t xml:space="preserve"> or the </w:t>
      </w:r>
      <w:r w:rsidR="00A72A4E">
        <w:rPr>
          <w:rFonts w:ascii="Verdana" w:hAnsi="Verdana"/>
        </w:rPr>
        <w:t>possibility</w:t>
      </w:r>
      <w:r w:rsidR="00476EC8">
        <w:rPr>
          <w:rFonts w:ascii="Verdana" w:hAnsi="Verdana"/>
        </w:rPr>
        <w:t xml:space="preserve"> for data to be accessed in an unauthorised manner</w:t>
      </w:r>
      <w:r w:rsidRPr="00E85371">
        <w:rPr>
          <w:rFonts w:ascii="Verdana" w:hAnsi="Verdana"/>
        </w:rPr>
        <w:t>. This document intends to address th</w:t>
      </w:r>
      <w:r w:rsidR="00A72A4E">
        <w:rPr>
          <w:rFonts w:ascii="Verdana" w:hAnsi="Verdana"/>
        </w:rPr>
        <w:t>ese</w:t>
      </w:r>
      <w:r w:rsidRPr="00E85371">
        <w:rPr>
          <w:rFonts w:ascii="Verdana" w:hAnsi="Verdana"/>
        </w:rPr>
        <w:t xml:space="preserve"> shortfall</w:t>
      </w:r>
      <w:r w:rsidR="00A72A4E">
        <w:rPr>
          <w:rFonts w:ascii="Verdana" w:hAnsi="Verdana"/>
        </w:rPr>
        <w:t>s</w:t>
      </w:r>
      <w:r w:rsidRPr="00E85371">
        <w:rPr>
          <w:rFonts w:ascii="Verdana" w:hAnsi="Verdana"/>
        </w:rPr>
        <w:t>.</w:t>
      </w:r>
    </w:p>
    <w:p w14:paraId="5E681083" w14:textId="77777777" w:rsidR="00B12D0B" w:rsidRPr="00E85371" w:rsidRDefault="00B12D0B" w:rsidP="00B12D0B">
      <w:pPr>
        <w:pStyle w:val="Heading1"/>
        <w:rPr>
          <w:rFonts w:ascii="Verdana" w:hAnsi="Verdana"/>
        </w:rPr>
      </w:pPr>
      <w:bookmarkStart w:id="1" w:name="_Toc71705998"/>
      <w:r w:rsidRPr="00E85371">
        <w:rPr>
          <w:rFonts w:ascii="Verdana" w:hAnsi="Verdana"/>
        </w:rPr>
        <w:t>Scope</w:t>
      </w:r>
      <w:bookmarkEnd w:id="1"/>
    </w:p>
    <w:p w14:paraId="594E5CF6" w14:textId="77777777" w:rsidR="00742045" w:rsidRPr="00E85371" w:rsidRDefault="00742045" w:rsidP="00742045">
      <w:pPr>
        <w:rPr>
          <w:rFonts w:ascii="Verdana" w:hAnsi="Verdana"/>
        </w:rPr>
      </w:pPr>
      <w:r w:rsidRPr="00E85371">
        <w:rPr>
          <w:rFonts w:ascii="Verdana" w:hAnsi="Verdana"/>
        </w:rPr>
        <w:br/>
        <w:t xml:space="preserve">This procedure is to set the base principles for accepting, processing, transmitting or storing </w:t>
      </w:r>
      <w:r w:rsidR="00DB415D">
        <w:rPr>
          <w:rFonts w:ascii="Verdana" w:hAnsi="Verdana"/>
        </w:rPr>
        <w:t>CHD</w:t>
      </w:r>
      <w:r w:rsidRPr="00E85371">
        <w:rPr>
          <w:rFonts w:ascii="Verdana" w:hAnsi="Verdana"/>
        </w:rPr>
        <w:t xml:space="preserve"> as a primary or secondary function.</w:t>
      </w:r>
    </w:p>
    <w:p w14:paraId="2E512E5F" w14:textId="77777777" w:rsidR="00742045" w:rsidRPr="00E85371" w:rsidRDefault="00742045" w:rsidP="00742045">
      <w:pPr>
        <w:rPr>
          <w:rFonts w:ascii="Verdana" w:hAnsi="Verdana"/>
        </w:rPr>
      </w:pPr>
      <w:r w:rsidRPr="00E85371">
        <w:rPr>
          <w:rFonts w:ascii="Verdana" w:hAnsi="Verdana"/>
        </w:rPr>
        <w:t>This procedure applies to:</w:t>
      </w:r>
    </w:p>
    <w:p w14:paraId="7B6CC6A7" w14:textId="3A2241E7" w:rsidR="00742045" w:rsidRPr="00E85371" w:rsidRDefault="00742045" w:rsidP="00742045">
      <w:pPr>
        <w:numPr>
          <w:ilvl w:val="0"/>
          <w:numId w:val="23"/>
        </w:numPr>
        <w:rPr>
          <w:rFonts w:ascii="Verdana" w:hAnsi="Verdana"/>
        </w:rPr>
      </w:pPr>
      <w:r w:rsidRPr="00E85371">
        <w:rPr>
          <w:rFonts w:ascii="Verdana" w:hAnsi="Verdana"/>
        </w:rPr>
        <w:t xml:space="preserve">All individuals within </w:t>
      </w:r>
      <w:r w:rsidR="008D1A7C" w:rsidRPr="0011363B">
        <w:rPr>
          <w:rFonts w:ascii="Verdana" w:hAnsi="Verdana"/>
        </w:rPr>
        <w:t xml:space="preserve">Imperial </w:t>
      </w:r>
      <w:r w:rsidRPr="00E85371">
        <w:rPr>
          <w:rFonts w:ascii="Verdana" w:hAnsi="Verdana"/>
        </w:rPr>
        <w:t xml:space="preserve">who are accountable for the management of </w:t>
      </w:r>
      <w:r w:rsidR="00DB415D">
        <w:rPr>
          <w:rFonts w:ascii="Verdana" w:hAnsi="Verdana"/>
        </w:rPr>
        <w:t>p</w:t>
      </w:r>
      <w:r w:rsidRPr="00E85371">
        <w:rPr>
          <w:rFonts w:ascii="Verdana" w:hAnsi="Verdana"/>
        </w:rPr>
        <w:t xml:space="preserve">ayment </w:t>
      </w:r>
      <w:r w:rsidR="00DB415D">
        <w:rPr>
          <w:rFonts w:ascii="Verdana" w:hAnsi="Verdana"/>
        </w:rPr>
        <w:t>s</w:t>
      </w:r>
      <w:r w:rsidRPr="00E85371">
        <w:rPr>
          <w:rFonts w:ascii="Verdana" w:hAnsi="Verdana"/>
        </w:rPr>
        <w:t xml:space="preserve">ecurity across the </w:t>
      </w:r>
      <w:r w:rsidR="00D000A9" w:rsidRPr="00E85371">
        <w:rPr>
          <w:rFonts w:ascii="Verdana" w:hAnsi="Verdana"/>
        </w:rPr>
        <w:t>organisation</w:t>
      </w:r>
      <w:r w:rsidR="00D000A9">
        <w:rPr>
          <w:rFonts w:ascii="Verdana" w:hAnsi="Verdana"/>
        </w:rPr>
        <w:t>.</w:t>
      </w:r>
    </w:p>
    <w:p w14:paraId="170DF433" w14:textId="746FEE18" w:rsidR="00742045" w:rsidRPr="00E85371" w:rsidRDefault="00742045" w:rsidP="00742045">
      <w:pPr>
        <w:numPr>
          <w:ilvl w:val="0"/>
          <w:numId w:val="23"/>
        </w:numPr>
        <w:rPr>
          <w:rFonts w:ascii="Verdana" w:hAnsi="Verdana"/>
        </w:rPr>
      </w:pPr>
      <w:r w:rsidRPr="00E85371">
        <w:rPr>
          <w:rFonts w:ascii="Verdana" w:hAnsi="Verdana"/>
        </w:rPr>
        <w:t xml:space="preserve">All individuals within </w:t>
      </w:r>
      <w:r w:rsidR="0011363B" w:rsidRPr="0011363B">
        <w:rPr>
          <w:rFonts w:ascii="Verdana" w:hAnsi="Verdana"/>
        </w:rPr>
        <w:t xml:space="preserve">Imperial </w:t>
      </w:r>
      <w:r w:rsidRPr="00E85371">
        <w:rPr>
          <w:rFonts w:ascii="Verdana" w:hAnsi="Verdana"/>
        </w:rPr>
        <w:t xml:space="preserve">who are responsible for the management of taking payments within their business </w:t>
      </w:r>
      <w:r w:rsidR="001F25A1" w:rsidRPr="00E85371">
        <w:rPr>
          <w:rFonts w:ascii="Verdana" w:hAnsi="Verdana"/>
        </w:rPr>
        <w:t>area</w:t>
      </w:r>
      <w:r w:rsidR="001F25A1">
        <w:rPr>
          <w:rFonts w:ascii="Verdana" w:hAnsi="Verdana"/>
        </w:rPr>
        <w:t>.</w:t>
      </w:r>
    </w:p>
    <w:p w14:paraId="0D5E0200" w14:textId="06F7CA24" w:rsidR="00742045" w:rsidRPr="00E85371" w:rsidRDefault="00742045" w:rsidP="00742045">
      <w:pPr>
        <w:numPr>
          <w:ilvl w:val="0"/>
          <w:numId w:val="23"/>
        </w:numPr>
        <w:rPr>
          <w:rFonts w:ascii="Verdana" w:hAnsi="Verdana"/>
        </w:rPr>
      </w:pPr>
      <w:r w:rsidRPr="00E85371">
        <w:rPr>
          <w:rFonts w:ascii="Verdana" w:hAnsi="Verdana"/>
        </w:rPr>
        <w:t xml:space="preserve">All individuals within </w:t>
      </w:r>
      <w:r w:rsidR="0011363B" w:rsidRPr="0011363B">
        <w:rPr>
          <w:rFonts w:ascii="Verdana" w:hAnsi="Verdana"/>
        </w:rPr>
        <w:t xml:space="preserve">Imperial </w:t>
      </w:r>
      <w:r w:rsidRPr="00E85371">
        <w:rPr>
          <w:rFonts w:ascii="Verdana" w:hAnsi="Verdana"/>
        </w:rPr>
        <w:t xml:space="preserve">who </w:t>
      </w:r>
      <w:r w:rsidR="00DB415D">
        <w:rPr>
          <w:rFonts w:ascii="Verdana" w:hAnsi="Verdana"/>
        </w:rPr>
        <w:t>use</w:t>
      </w:r>
      <w:r w:rsidRPr="00E85371">
        <w:rPr>
          <w:rFonts w:ascii="Verdana" w:hAnsi="Verdana"/>
        </w:rPr>
        <w:t xml:space="preserve"> payment devices to take </w:t>
      </w:r>
      <w:r w:rsidR="001F25A1" w:rsidRPr="00E85371">
        <w:rPr>
          <w:rFonts w:ascii="Verdana" w:hAnsi="Verdana"/>
        </w:rPr>
        <w:t>payments</w:t>
      </w:r>
      <w:r w:rsidR="001F25A1">
        <w:rPr>
          <w:rFonts w:ascii="Verdana" w:hAnsi="Verdana"/>
        </w:rPr>
        <w:t>.</w:t>
      </w:r>
    </w:p>
    <w:p w14:paraId="6A7F79B0" w14:textId="77777777" w:rsidR="00742045" w:rsidRPr="00E85371" w:rsidRDefault="00742045" w:rsidP="00742045">
      <w:pPr>
        <w:numPr>
          <w:ilvl w:val="0"/>
          <w:numId w:val="23"/>
        </w:numPr>
        <w:rPr>
          <w:rFonts w:ascii="Verdana" w:hAnsi="Verdana"/>
        </w:rPr>
      </w:pPr>
      <w:r w:rsidRPr="00E85371">
        <w:rPr>
          <w:rFonts w:ascii="Verdana" w:hAnsi="Verdana"/>
        </w:rPr>
        <w:t xml:space="preserve">All individuals within </w:t>
      </w:r>
      <w:r w:rsidR="009D1461" w:rsidRPr="0011363B">
        <w:rPr>
          <w:rFonts w:ascii="Verdana" w:hAnsi="Verdana"/>
        </w:rPr>
        <w:t xml:space="preserve">Imperial </w:t>
      </w:r>
      <w:r w:rsidRPr="00E85371">
        <w:rPr>
          <w:rFonts w:ascii="Verdana" w:hAnsi="Verdana"/>
        </w:rPr>
        <w:t xml:space="preserve">who manage and maintain the hardware and software that is used within the </w:t>
      </w:r>
      <w:r w:rsidR="00DB415D">
        <w:rPr>
          <w:rFonts w:ascii="Verdana" w:hAnsi="Verdana"/>
        </w:rPr>
        <w:t>cardholder data environment (</w:t>
      </w:r>
      <w:r w:rsidRPr="00E85371">
        <w:rPr>
          <w:rFonts w:ascii="Verdana" w:hAnsi="Verdana"/>
        </w:rPr>
        <w:t>CDE</w:t>
      </w:r>
      <w:r w:rsidR="00DB415D">
        <w:rPr>
          <w:rFonts w:ascii="Verdana" w:hAnsi="Verdana"/>
        </w:rPr>
        <w:t>)</w:t>
      </w:r>
      <w:r w:rsidRPr="00E85371">
        <w:rPr>
          <w:rFonts w:ascii="Verdana" w:hAnsi="Verdana"/>
        </w:rPr>
        <w:t xml:space="preserve"> or indirectly supports the CDE.</w:t>
      </w:r>
    </w:p>
    <w:p w14:paraId="376C3DEA" w14:textId="77777777" w:rsidR="00B12D0B" w:rsidRPr="00E85371" w:rsidRDefault="00742045" w:rsidP="00B12D0B">
      <w:pPr>
        <w:rPr>
          <w:rFonts w:ascii="Verdana" w:hAnsi="Verdana"/>
        </w:rPr>
      </w:pPr>
      <w:r w:rsidRPr="00E85371">
        <w:rPr>
          <w:rFonts w:ascii="Verdana" w:hAnsi="Verdana"/>
        </w:rPr>
        <w:t xml:space="preserve">This procedure document </w:t>
      </w:r>
      <w:r w:rsidR="00DB415D">
        <w:rPr>
          <w:rFonts w:ascii="Verdana" w:hAnsi="Verdana"/>
        </w:rPr>
        <w:t>must</w:t>
      </w:r>
      <w:r w:rsidR="00DB415D" w:rsidRPr="00E85371">
        <w:rPr>
          <w:rFonts w:ascii="Verdana" w:hAnsi="Verdana"/>
        </w:rPr>
        <w:t xml:space="preserve"> </w:t>
      </w:r>
      <w:r w:rsidRPr="00E85371">
        <w:rPr>
          <w:rFonts w:ascii="Verdana" w:hAnsi="Verdana"/>
        </w:rPr>
        <w:t xml:space="preserve">be followed in conjunction with the Payment Security policies, </w:t>
      </w:r>
      <w:r w:rsidR="00DB415D">
        <w:rPr>
          <w:rFonts w:ascii="Verdana" w:hAnsi="Verdana"/>
        </w:rPr>
        <w:t>Imperial</w:t>
      </w:r>
      <w:r w:rsidR="0067069C">
        <w:rPr>
          <w:rFonts w:ascii="Verdana" w:hAnsi="Verdana"/>
        </w:rPr>
        <w:t>’</w:t>
      </w:r>
      <w:r w:rsidRPr="00E85371">
        <w:rPr>
          <w:rFonts w:ascii="Verdana" w:hAnsi="Verdana"/>
        </w:rPr>
        <w:t>s procurement processes and Data Protection policies.</w:t>
      </w:r>
    </w:p>
    <w:p w14:paraId="4E8FFFD7" w14:textId="77777777" w:rsidR="00E9664C" w:rsidRPr="00E85371" w:rsidRDefault="00E9664C" w:rsidP="00B12D0B">
      <w:pPr>
        <w:pStyle w:val="Heading1"/>
        <w:rPr>
          <w:rFonts w:ascii="Verdana" w:hAnsi="Verdana"/>
        </w:rPr>
      </w:pPr>
      <w:bookmarkStart w:id="2" w:name="_Toc71705999"/>
      <w:r w:rsidRPr="00E85371">
        <w:rPr>
          <w:rFonts w:ascii="Verdana" w:hAnsi="Verdana"/>
        </w:rPr>
        <w:t>Definition</w:t>
      </w:r>
      <w:r w:rsidR="00742045" w:rsidRPr="00E85371">
        <w:rPr>
          <w:rFonts w:ascii="Verdana" w:hAnsi="Verdana"/>
        </w:rPr>
        <w:t>s</w:t>
      </w:r>
      <w:bookmarkEnd w:id="2"/>
      <w:r w:rsidR="00742045" w:rsidRPr="00E85371">
        <w:rPr>
          <w:rFonts w:ascii="Verdana" w:hAnsi="Verdana"/>
        </w:rPr>
        <w:br/>
      </w:r>
    </w:p>
    <w:p w14:paraId="0556C00A" w14:textId="77777777" w:rsidR="00F52F68" w:rsidRPr="00DD0D7F" w:rsidRDefault="00820D4C" w:rsidP="00F52F68">
      <w:pPr>
        <w:numPr>
          <w:ilvl w:val="0"/>
          <w:numId w:val="24"/>
        </w:numPr>
        <w:rPr>
          <w:rFonts w:ascii="Verdana" w:hAnsi="Verdana"/>
        </w:rPr>
      </w:pPr>
      <w:r>
        <w:rPr>
          <w:rFonts w:ascii="Verdana" w:hAnsi="Verdana"/>
          <w:b/>
        </w:rPr>
        <w:t>Primary Account Number (</w:t>
      </w:r>
      <w:r w:rsidR="00F52F68" w:rsidRPr="00E85371">
        <w:rPr>
          <w:rFonts w:ascii="Verdana" w:hAnsi="Verdana"/>
          <w:b/>
        </w:rPr>
        <w:t>PAN</w:t>
      </w:r>
      <w:r>
        <w:rPr>
          <w:rFonts w:ascii="Verdana" w:hAnsi="Verdana"/>
          <w:b/>
        </w:rPr>
        <w:t>)</w:t>
      </w:r>
      <w:r w:rsidR="00F52F68" w:rsidRPr="00E85371">
        <w:rPr>
          <w:rFonts w:ascii="Verdana" w:hAnsi="Verdana"/>
          <w:b/>
        </w:rPr>
        <w:t>:</w:t>
      </w:r>
      <w:r w:rsidR="00F52F68" w:rsidRPr="00E85371">
        <w:rPr>
          <w:rFonts w:ascii="Verdana" w:hAnsi="Verdana"/>
        </w:rPr>
        <w:t xml:space="preserve"> </w:t>
      </w:r>
      <w:r w:rsidRPr="00DD0D7F">
        <w:rPr>
          <w:rFonts w:ascii="Verdana" w:hAnsi="Verdana"/>
          <w:b/>
          <w:bCs/>
        </w:rPr>
        <w:t>PAN</w:t>
      </w:r>
      <w:r w:rsidR="00F52F68" w:rsidRPr="00E85371">
        <w:rPr>
          <w:rFonts w:ascii="Verdana" w:hAnsi="Verdana"/>
        </w:rPr>
        <w:t xml:space="preserve"> may also be described as the “account number” or “card number”</w:t>
      </w:r>
      <w:r>
        <w:rPr>
          <w:rFonts w:ascii="Verdana" w:hAnsi="Verdana"/>
        </w:rPr>
        <w:t>.</w:t>
      </w:r>
      <w:r w:rsidR="00F52F68" w:rsidRPr="00E85371">
        <w:rPr>
          <w:rFonts w:ascii="Verdana" w:hAnsi="Verdana"/>
        </w:rPr>
        <w:t xml:space="preserve">  </w:t>
      </w:r>
    </w:p>
    <w:p w14:paraId="6C11E671" w14:textId="77777777" w:rsidR="00742045" w:rsidRPr="00E85371" w:rsidRDefault="00742045" w:rsidP="00742045">
      <w:pPr>
        <w:numPr>
          <w:ilvl w:val="0"/>
          <w:numId w:val="24"/>
        </w:numPr>
        <w:rPr>
          <w:rFonts w:ascii="Verdana" w:hAnsi="Verdana"/>
        </w:rPr>
      </w:pPr>
      <w:r w:rsidRPr="00E85371">
        <w:rPr>
          <w:rFonts w:ascii="Verdana" w:hAnsi="Verdana"/>
          <w:b/>
        </w:rPr>
        <w:t>Cardholder Data</w:t>
      </w:r>
      <w:r w:rsidR="00F52F68">
        <w:rPr>
          <w:rFonts w:ascii="Verdana" w:hAnsi="Verdana"/>
          <w:b/>
        </w:rPr>
        <w:t xml:space="preserve"> (CHD)</w:t>
      </w:r>
      <w:r w:rsidRPr="00E85371">
        <w:rPr>
          <w:rFonts w:ascii="Verdana" w:hAnsi="Verdana"/>
          <w:b/>
        </w:rPr>
        <w:t>:</w:t>
      </w:r>
      <w:r w:rsidRPr="00E85371">
        <w:rPr>
          <w:rFonts w:ascii="Verdana" w:hAnsi="Verdana"/>
        </w:rPr>
        <w:t xml:space="preserve"> </w:t>
      </w:r>
      <w:r w:rsidRPr="00DD0D7F">
        <w:rPr>
          <w:rFonts w:ascii="Verdana" w:hAnsi="Verdana"/>
          <w:b/>
          <w:bCs/>
        </w:rPr>
        <w:t>C</w:t>
      </w:r>
      <w:r w:rsidR="00F52F68" w:rsidRPr="00DD0D7F">
        <w:rPr>
          <w:rFonts w:ascii="Verdana" w:hAnsi="Verdana"/>
          <w:b/>
          <w:bCs/>
        </w:rPr>
        <w:t>HD</w:t>
      </w:r>
      <w:r w:rsidRPr="00E85371">
        <w:rPr>
          <w:rFonts w:ascii="Verdana" w:hAnsi="Verdana"/>
        </w:rPr>
        <w:t xml:space="preserve"> consists of the full </w:t>
      </w:r>
      <w:r w:rsidRPr="00DD0D7F">
        <w:rPr>
          <w:rFonts w:ascii="Verdana" w:hAnsi="Verdana"/>
          <w:bCs/>
        </w:rPr>
        <w:t>PAN</w:t>
      </w:r>
      <w:r w:rsidRPr="00E85371">
        <w:rPr>
          <w:rFonts w:ascii="Verdana" w:hAnsi="Verdana"/>
        </w:rPr>
        <w:t xml:space="preserve"> a</w:t>
      </w:r>
      <w:r w:rsidR="00F52F68">
        <w:rPr>
          <w:rFonts w:ascii="Verdana" w:hAnsi="Verdana"/>
        </w:rPr>
        <w:t>t</w:t>
      </w:r>
      <w:r w:rsidRPr="00E85371">
        <w:rPr>
          <w:rFonts w:ascii="Verdana" w:hAnsi="Verdana"/>
        </w:rPr>
        <w:t xml:space="preserve"> </w:t>
      </w:r>
      <w:r w:rsidR="00F52F68">
        <w:rPr>
          <w:rFonts w:ascii="Verdana" w:hAnsi="Verdana"/>
        </w:rPr>
        <w:t xml:space="preserve">a </w:t>
      </w:r>
      <w:r w:rsidRPr="00E85371">
        <w:rPr>
          <w:rFonts w:ascii="Verdana" w:hAnsi="Verdana"/>
        </w:rPr>
        <w:t xml:space="preserve">minimum. </w:t>
      </w:r>
      <w:r w:rsidR="00F52F68">
        <w:rPr>
          <w:rFonts w:ascii="Verdana" w:hAnsi="Verdana"/>
        </w:rPr>
        <w:t>CHD</w:t>
      </w:r>
      <w:r w:rsidRPr="00E85371">
        <w:rPr>
          <w:rFonts w:ascii="Verdana" w:hAnsi="Verdana"/>
        </w:rPr>
        <w:t xml:space="preserve"> can </w:t>
      </w:r>
      <w:r w:rsidR="00F52F68">
        <w:rPr>
          <w:rFonts w:ascii="Verdana" w:hAnsi="Verdana"/>
        </w:rPr>
        <w:t>also</w:t>
      </w:r>
      <w:r w:rsidRPr="00E85371">
        <w:rPr>
          <w:rFonts w:ascii="Verdana" w:hAnsi="Verdana"/>
        </w:rPr>
        <w:t xml:space="preserve"> appear as the full PAN plus any of the following: cardholder name, expiration date and/or service code.</w:t>
      </w:r>
    </w:p>
    <w:p w14:paraId="05C280B4" w14:textId="77777777" w:rsidR="001F3626" w:rsidRPr="00E85371" w:rsidRDefault="00742045" w:rsidP="00742045">
      <w:pPr>
        <w:numPr>
          <w:ilvl w:val="0"/>
          <w:numId w:val="24"/>
        </w:numPr>
        <w:rPr>
          <w:rFonts w:ascii="Verdana" w:hAnsi="Verdana"/>
        </w:rPr>
      </w:pPr>
      <w:r w:rsidRPr="00E85371">
        <w:rPr>
          <w:rFonts w:ascii="Verdana" w:hAnsi="Verdana"/>
          <w:b/>
        </w:rPr>
        <w:lastRenderedPageBreak/>
        <w:t>Sensitive Authentication Data</w:t>
      </w:r>
      <w:r w:rsidR="00820D4C">
        <w:rPr>
          <w:rFonts w:ascii="Verdana" w:hAnsi="Verdana"/>
          <w:b/>
        </w:rPr>
        <w:t xml:space="preserve"> (SAD)</w:t>
      </w:r>
      <w:r w:rsidRPr="00E85371">
        <w:rPr>
          <w:rFonts w:ascii="Verdana" w:hAnsi="Verdana"/>
          <w:b/>
        </w:rPr>
        <w:t>:</w:t>
      </w:r>
      <w:r w:rsidR="001F3626" w:rsidRPr="00E85371">
        <w:rPr>
          <w:rFonts w:ascii="Verdana" w:hAnsi="Verdana"/>
        </w:rPr>
        <w:t xml:space="preserve"> </w:t>
      </w:r>
      <w:r w:rsidR="00820D4C" w:rsidRPr="00DD0D7F">
        <w:rPr>
          <w:rFonts w:ascii="Verdana" w:hAnsi="Verdana"/>
          <w:b/>
        </w:rPr>
        <w:t>SAD</w:t>
      </w:r>
      <w:r w:rsidR="001F3626" w:rsidRPr="00E85371">
        <w:rPr>
          <w:rFonts w:ascii="Verdana" w:hAnsi="Verdana"/>
        </w:rPr>
        <w:t xml:space="preserve"> </w:t>
      </w:r>
      <w:r w:rsidR="00DD0D7F">
        <w:rPr>
          <w:rFonts w:ascii="Verdana" w:hAnsi="Verdana"/>
        </w:rPr>
        <w:t>is</w:t>
      </w:r>
      <w:r w:rsidR="00820D4C">
        <w:rPr>
          <w:rFonts w:ascii="Verdana" w:hAnsi="Verdana"/>
        </w:rPr>
        <w:t xml:space="preserve"> i</w:t>
      </w:r>
      <w:r w:rsidR="001F3626" w:rsidRPr="00E85371">
        <w:rPr>
          <w:rFonts w:ascii="Verdana" w:hAnsi="Verdana"/>
        </w:rPr>
        <w:t>nformatio</w:t>
      </w:r>
      <w:r w:rsidR="00383E91" w:rsidRPr="00E85371">
        <w:rPr>
          <w:rFonts w:ascii="Verdana" w:hAnsi="Verdana"/>
        </w:rPr>
        <w:t xml:space="preserve">n that is used to authenticate </w:t>
      </w:r>
      <w:r w:rsidR="001F3626" w:rsidRPr="00E85371">
        <w:rPr>
          <w:rFonts w:ascii="Verdana" w:hAnsi="Verdana"/>
        </w:rPr>
        <w:t xml:space="preserve">the cardholder and support the authorisation of the payment. SAD will include but not </w:t>
      </w:r>
      <w:r w:rsidR="0067069C">
        <w:rPr>
          <w:rFonts w:ascii="Verdana" w:hAnsi="Verdana"/>
        </w:rPr>
        <w:t xml:space="preserve">be </w:t>
      </w:r>
      <w:r w:rsidR="001F3626" w:rsidRPr="00E85371">
        <w:rPr>
          <w:rFonts w:ascii="Verdana" w:hAnsi="Verdana"/>
        </w:rPr>
        <w:t>limited to:</w:t>
      </w:r>
    </w:p>
    <w:p w14:paraId="11D0326A" w14:textId="77777777" w:rsidR="001F3626" w:rsidRPr="00E85371" w:rsidRDefault="0067069C" w:rsidP="001F3626">
      <w:pPr>
        <w:numPr>
          <w:ilvl w:val="1"/>
          <w:numId w:val="24"/>
        </w:numPr>
        <w:rPr>
          <w:rFonts w:ascii="Verdana" w:hAnsi="Verdana"/>
        </w:rPr>
      </w:pPr>
      <w:r>
        <w:rPr>
          <w:rFonts w:ascii="Verdana" w:hAnsi="Verdana"/>
        </w:rPr>
        <w:t>C</w:t>
      </w:r>
      <w:r w:rsidR="00742045" w:rsidRPr="00E85371">
        <w:rPr>
          <w:rFonts w:ascii="Verdana" w:hAnsi="Verdana"/>
        </w:rPr>
        <w:t>ard validation</w:t>
      </w:r>
      <w:r w:rsidR="001F3626" w:rsidRPr="00E85371">
        <w:rPr>
          <w:rFonts w:ascii="Verdana" w:hAnsi="Verdana"/>
        </w:rPr>
        <w:t xml:space="preserve"> values </w:t>
      </w:r>
      <w:r w:rsidR="00742045" w:rsidRPr="00E85371">
        <w:rPr>
          <w:rFonts w:ascii="Verdana" w:hAnsi="Verdana"/>
        </w:rPr>
        <w:t>(known as CVV, CAV2,</w:t>
      </w:r>
      <w:r w:rsidR="00383E91" w:rsidRPr="00E85371">
        <w:rPr>
          <w:rFonts w:ascii="Verdana" w:hAnsi="Verdana"/>
        </w:rPr>
        <w:t xml:space="preserve"> CVC2, CVV2 or CID)</w:t>
      </w:r>
      <w:r w:rsidR="00476EC8">
        <w:rPr>
          <w:rFonts w:ascii="Verdana" w:hAnsi="Verdana"/>
        </w:rPr>
        <w:t>;</w:t>
      </w:r>
    </w:p>
    <w:p w14:paraId="7B2AC8BF" w14:textId="3F2B08CD" w:rsidR="001F3626" w:rsidRPr="00E85371" w:rsidRDefault="0067069C" w:rsidP="001F3626">
      <w:pPr>
        <w:numPr>
          <w:ilvl w:val="1"/>
          <w:numId w:val="24"/>
        </w:numPr>
        <w:rPr>
          <w:rFonts w:ascii="Verdana" w:hAnsi="Verdana"/>
        </w:rPr>
      </w:pPr>
      <w:r>
        <w:rPr>
          <w:rFonts w:ascii="Verdana" w:hAnsi="Verdana"/>
        </w:rPr>
        <w:t>T</w:t>
      </w:r>
      <w:r w:rsidR="00383E91" w:rsidRPr="00E85371">
        <w:rPr>
          <w:rFonts w:ascii="Verdana" w:hAnsi="Verdana"/>
        </w:rPr>
        <w:t xml:space="preserve">rack data obtained from </w:t>
      </w:r>
      <w:r w:rsidR="00820D4C">
        <w:rPr>
          <w:rFonts w:ascii="Verdana" w:hAnsi="Verdana"/>
        </w:rPr>
        <w:t>m</w:t>
      </w:r>
      <w:r w:rsidR="00383E91" w:rsidRPr="00E85371">
        <w:rPr>
          <w:rFonts w:ascii="Verdana" w:hAnsi="Verdana"/>
        </w:rPr>
        <w:t xml:space="preserve">agnetic stripe or </w:t>
      </w:r>
      <w:r w:rsidR="00081F70" w:rsidRPr="00E85371">
        <w:rPr>
          <w:rFonts w:ascii="Verdana" w:hAnsi="Verdana"/>
        </w:rPr>
        <w:t>chip</w:t>
      </w:r>
      <w:r w:rsidR="00081F70">
        <w:rPr>
          <w:rFonts w:ascii="Verdana" w:hAnsi="Verdana"/>
        </w:rPr>
        <w:t>.</w:t>
      </w:r>
    </w:p>
    <w:p w14:paraId="33644917" w14:textId="77777777" w:rsidR="00742045" w:rsidRPr="00E85371" w:rsidRDefault="00383E91" w:rsidP="00A83965">
      <w:pPr>
        <w:numPr>
          <w:ilvl w:val="1"/>
          <w:numId w:val="24"/>
        </w:numPr>
        <w:rPr>
          <w:rFonts w:ascii="Verdana" w:hAnsi="Verdana"/>
        </w:rPr>
      </w:pPr>
      <w:r w:rsidRPr="00E85371">
        <w:rPr>
          <w:rFonts w:ascii="Verdana" w:hAnsi="Verdana"/>
        </w:rPr>
        <w:t>PIN</w:t>
      </w:r>
      <w:r w:rsidR="001F3626" w:rsidRPr="00E85371">
        <w:rPr>
          <w:rFonts w:ascii="Verdana" w:hAnsi="Verdana"/>
        </w:rPr>
        <w:t xml:space="preserve"> and PIN blocks</w:t>
      </w:r>
      <w:r w:rsidR="00476EC8">
        <w:rPr>
          <w:rFonts w:ascii="Verdana" w:hAnsi="Verdana"/>
        </w:rPr>
        <w:t>.</w:t>
      </w:r>
    </w:p>
    <w:p w14:paraId="2954BB04" w14:textId="77777777" w:rsidR="00B70B69" w:rsidRPr="00E85371" w:rsidRDefault="00820D4C" w:rsidP="00B70B69">
      <w:pPr>
        <w:numPr>
          <w:ilvl w:val="0"/>
          <w:numId w:val="24"/>
        </w:numPr>
        <w:rPr>
          <w:rFonts w:ascii="Verdana" w:hAnsi="Verdana"/>
        </w:rPr>
      </w:pPr>
      <w:r w:rsidRPr="00DD0D7F">
        <w:rPr>
          <w:rFonts w:ascii="Verdana" w:hAnsi="Verdana"/>
          <w:b/>
        </w:rPr>
        <w:t xml:space="preserve">Personally </w:t>
      </w:r>
      <w:r w:rsidR="00A248BB">
        <w:rPr>
          <w:rFonts w:ascii="Verdana" w:hAnsi="Verdana"/>
          <w:b/>
        </w:rPr>
        <w:t>I</w:t>
      </w:r>
      <w:r w:rsidRPr="00DD0D7F">
        <w:rPr>
          <w:rFonts w:ascii="Verdana" w:hAnsi="Verdana"/>
          <w:b/>
        </w:rPr>
        <w:t xml:space="preserve">dentifiable </w:t>
      </w:r>
      <w:r w:rsidR="00A248BB">
        <w:rPr>
          <w:rFonts w:ascii="Verdana" w:hAnsi="Verdana"/>
          <w:b/>
        </w:rPr>
        <w:t>I</w:t>
      </w:r>
      <w:r w:rsidRPr="00DD0D7F">
        <w:rPr>
          <w:rFonts w:ascii="Verdana" w:hAnsi="Verdana"/>
          <w:b/>
        </w:rPr>
        <w:t>nformation</w:t>
      </w:r>
      <w:r w:rsidRPr="00E8537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(</w:t>
      </w:r>
      <w:r w:rsidR="00B70B69" w:rsidRPr="00E85371">
        <w:rPr>
          <w:rFonts w:ascii="Verdana" w:hAnsi="Verdana"/>
          <w:b/>
        </w:rPr>
        <w:t>PII</w:t>
      </w:r>
      <w:r>
        <w:rPr>
          <w:rFonts w:ascii="Verdana" w:hAnsi="Verdana"/>
          <w:b/>
        </w:rPr>
        <w:t>)</w:t>
      </w:r>
      <w:r w:rsidR="00B70B69" w:rsidRPr="00E85371">
        <w:rPr>
          <w:rFonts w:ascii="Verdana" w:hAnsi="Verdana"/>
          <w:b/>
        </w:rPr>
        <w:t xml:space="preserve"> </w:t>
      </w:r>
      <w:r w:rsidR="00B70B69" w:rsidRPr="00E85371">
        <w:rPr>
          <w:rFonts w:ascii="Verdana" w:hAnsi="Verdana"/>
        </w:rPr>
        <w:t>–</w:t>
      </w:r>
      <w:r w:rsidRPr="00DD0D7F">
        <w:rPr>
          <w:rFonts w:ascii="Verdana" w:hAnsi="Verdana"/>
          <w:b/>
          <w:bCs/>
        </w:rPr>
        <w:t>PII</w:t>
      </w:r>
      <w:r>
        <w:rPr>
          <w:rFonts w:ascii="Verdana" w:hAnsi="Verdana"/>
        </w:rPr>
        <w:t xml:space="preserve"> is i</w:t>
      </w:r>
      <w:r w:rsidR="00B70B69" w:rsidRPr="00E85371">
        <w:rPr>
          <w:rFonts w:ascii="Verdana" w:hAnsi="Verdana"/>
        </w:rPr>
        <w:t xml:space="preserve">nformation that when used alone or with other relevant data, can identify an individual. </w:t>
      </w:r>
      <w:r>
        <w:rPr>
          <w:rFonts w:ascii="Verdana" w:hAnsi="Verdana"/>
        </w:rPr>
        <w:t>CHD</w:t>
      </w:r>
      <w:r w:rsidR="00B70B69" w:rsidRPr="00E85371">
        <w:rPr>
          <w:rFonts w:ascii="Verdana" w:hAnsi="Verdana"/>
        </w:rPr>
        <w:t xml:space="preserve"> is considered PII.</w:t>
      </w:r>
    </w:p>
    <w:p w14:paraId="3297631E" w14:textId="77777777" w:rsidR="00DE069B" w:rsidRPr="00E85371" w:rsidRDefault="00B12D0B" w:rsidP="00E9664C">
      <w:pPr>
        <w:pStyle w:val="Heading1"/>
        <w:rPr>
          <w:rFonts w:ascii="Verdana" w:hAnsi="Verdana"/>
        </w:rPr>
      </w:pPr>
      <w:bookmarkStart w:id="3" w:name="_Toc71706000"/>
      <w:r w:rsidRPr="00E85371">
        <w:rPr>
          <w:rFonts w:ascii="Verdana" w:hAnsi="Verdana"/>
        </w:rPr>
        <w:t>Procedure Actions</w:t>
      </w:r>
      <w:bookmarkEnd w:id="3"/>
      <w:r w:rsidRPr="00E85371">
        <w:rPr>
          <w:rFonts w:ascii="Verdana" w:hAnsi="Verdana"/>
        </w:rPr>
        <w:t xml:space="preserve"> </w:t>
      </w:r>
    </w:p>
    <w:p w14:paraId="74C2477E" w14:textId="77777777" w:rsidR="00383E91" w:rsidRPr="00E85371" w:rsidRDefault="00383E91" w:rsidP="00383E91">
      <w:pPr>
        <w:rPr>
          <w:rFonts w:ascii="Verdana" w:hAnsi="Verdana"/>
        </w:rPr>
      </w:pPr>
      <w:r w:rsidRPr="00E85371">
        <w:rPr>
          <w:rFonts w:ascii="Verdana" w:hAnsi="Verdana"/>
        </w:rPr>
        <w:br/>
      </w:r>
      <w:r w:rsidR="001743C2">
        <w:rPr>
          <w:rFonts w:ascii="Verdana" w:hAnsi="Verdana"/>
        </w:rPr>
        <w:t xml:space="preserve">There are two key principles that underpin the handling of </w:t>
      </w:r>
      <w:r w:rsidR="00476EC8">
        <w:rPr>
          <w:rFonts w:ascii="Verdana" w:hAnsi="Verdana"/>
        </w:rPr>
        <w:t>CHD</w:t>
      </w:r>
      <w:r w:rsidR="001743C2">
        <w:rPr>
          <w:rFonts w:ascii="Verdana" w:hAnsi="Verdana"/>
        </w:rPr>
        <w:t xml:space="preserve"> within </w:t>
      </w:r>
      <w:r w:rsidR="0017694E">
        <w:rPr>
          <w:rFonts w:ascii="Verdana" w:hAnsi="Verdana"/>
        </w:rPr>
        <w:t>Imperial</w:t>
      </w:r>
      <w:r w:rsidR="00476EC8">
        <w:rPr>
          <w:rFonts w:ascii="Verdana" w:hAnsi="Verdana"/>
        </w:rPr>
        <w:t>,</w:t>
      </w:r>
      <w:r w:rsidR="001743C2">
        <w:rPr>
          <w:rFonts w:ascii="Verdana" w:hAnsi="Verdana"/>
        </w:rPr>
        <w:t xml:space="preserve"> and they are as follows:</w:t>
      </w:r>
    </w:p>
    <w:p w14:paraId="5C3DA58E" w14:textId="46FF6419" w:rsidR="00B70B69" w:rsidRPr="00E85371" w:rsidRDefault="0017694E" w:rsidP="00B70B69">
      <w:pPr>
        <w:numPr>
          <w:ilvl w:val="0"/>
          <w:numId w:val="25"/>
        </w:numPr>
        <w:rPr>
          <w:rFonts w:ascii="Verdana" w:hAnsi="Verdana"/>
        </w:rPr>
      </w:pPr>
      <w:r>
        <w:rPr>
          <w:rFonts w:ascii="Verdana" w:hAnsi="Verdana"/>
        </w:rPr>
        <w:t>CHD</w:t>
      </w:r>
      <w:r w:rsidR="00B70B69" w:rsidRPr="00E85371">
        <w:rPr>
          <w:rFonts w:ascii="Verdana" w:hAnsi="Verdana"/>
        </w:rPr>
        <w:t xml:space="preserve"> will only be accepted, processed, transmitted or stored</w:t>
      </w:r>
      <w:r w:rsidR="0067069C">
        <w:rPr>
          <w:rFonts w:ascii="Verdana" w:hAnsi="Verdana"/>
        </w:rPr>
        <w:t>,</w:t>
      </w:r>
      <w:r w:rsidR="00B70B69" w:rsidRPr="00E85371">
        <w:rPr>
          <w:rFonts w:ascii="Verdana" w:hAnsi="Verdana"/>
        </w:rPr>
        <w:t xml:space="preserve"> subject to the documented approval of </w:t>
      </w:r>
      <w:r>
        <w:rPr>
          <w:rFonts w:ascii="Verdana" w:hAnsi="Verdana"/>
        </w:rPr>
        <w:t xml:space="preserve">the </w:t>
      </w:r>
      <w:r w:rsidR="003D1D38" w:rsidRPr="003D1D38">
        <w:rPr>
          <w:rFonts w:ascii="Verdana" w:hAnsi="Verdana"/>
        </w:rPr>
        <w:t xml:space="preserve">Payment Security Committee </w:t>
      </w:r>
      <w:r w:rsidR="00B70B69" w:rsidRPr="00E85371">
        <w:rPr>
          <w:rFonts w:ascii="Verdana" w:hAnsi="Verdana"/>
        </w:rPr>
        <w:t>and on the provis</w:t>
      </w:r>
      <w:r w:rsidR="00D16CBA">
        <w:rPr>
          <w:rFonts w:ascii="Verdana" w:hAnsi="Verdana"/>
        </w:rPr>
        <w:t>i</w:t>
      </w:r>
      <w:r w:rsidR="00B70B69" w:rsidRPr="00E85371">
        <w:rPr>
          <w:rFonts w:ascii="Verdana" w:hAnsi="Verdana"/>
        </w:rPr>
        <w:t>o</w:t>
      </w:r>
      <w:r w:rsidR="00D16CBA">
        <w:rPr>
          <w:rFonts w:ascii="Verdana" w:hAnsi="Verdana"/>
        </w:rPr>
        <w:t>n</w:t>
      </w:r>
      <w:r w:rsidR="00B70B69" w:rsidRPr="00E85371">
        <w:rPr>
          <w:rFonts w:ascii="Verdana" w:hAnsi="Verdana"/>
        </w:rPr>
        <w:t xml:space="preserve"> </w:t>
      </w:r>
      <w:r w:rsidR="000C73DA">
        <w:rPr>
          <w:rFonts w:ascii="Verdana" w:hAnsi="Verdana"/>
        </w:rPr>
        <w:t xml:space="preserve">that </w:t>
      </w:r>
      <w:r w:rsidR="00B70B69" w:rsidRPr="00E85371">
        <w:rPr>
          <w:rFonts w:ascii="Verdana" w:hAnsi="Verdana"/>
        </w:rPr>
        <w:t xml:space="preserve">a valid business reason </w:t>
      </w:r>
      <w:r w:rsidR="00FB3DEC" w:rsidRPr="00E85371">
        <w:rPr>
          <w:rFonts w:ascii="Verdana" w:hAnsi="Verdana"/>
        </w:rPr>
        <w:t>exists</w:t>
      </w:r>
      <w:r w:rsidR="00FB3DEC">
        <w:rPr>
          <w:rFonts w:ascii="Verdana" w:hAnsi="Verdana"/>
        </w:rPr>
        <w:t>.</w:t>
      </w:r>
    </w:p>
    <w:p w14:paraId="4405314C" w14:textId="7F4BAF2C" w:rsidR="00B70B69" w:rsidRPr="00F973FB" w:rsidRDefault="00B70B69" w:rsidP="00F973FB">
      <w:pPr>
        <w:numPr>
          <w:ilvl w:val="0"/>
          <w:numId w:val="25"/>
        </w:numPr>
        <w:rPr>
          <w:rFonts w:ascii="Verdana" w:hAnsi="Verdana"/>
        </w:rPr>
      </w:pPr>
      <w:r w:rsidRPr="00E85371">
        <w:rPr>
          <w:rFonts w:ascii="Verdana" w:hAnsi="Verdana"/>
        </w:rPr>
        <w:t>C</w:t>
      </w:r>
      <w:r w:rsidR="0017694E">
        <w:rPr>
          <w:rFonts w:ascii="Verdana" w:hAnsi="Verdana"/>
        </w:rPr>
        <w:t>HD</w:t>
      </w:r>
      <w:r w:rsidRPr="00E85371">
        <w:rPr>
          <w:rFonts w:ascii="Verdana" w:hAnsi="Verdana"/>
        </w:rPr>
        <w:t xml:space="preserve"> will exist within the organisation for the shortest time possible and will not be stored after the payment has been processed.</w:t>
      </w:r>
      <w:r w:rsidR="00350449" w:rsidRPr="00F973FB">
        <w:rPr>
          <w:rFonts w:ascii="Verdana" w:hAnsi="Verdana"/>
        </w:rPr>
        <w:br/>
      </w:r>
    </w:p>
    <w:p w14:paraId="1640FBFD" w14:textId="77777777" w:rsidR="00350449" w:rsidRPr="00E85371" w:rsidRDefault="00350449" w:rsidP="00B70B69">
      <w:pPr>
        <w:pStyle w:val="Heading2"/>
        <w:rPr>
          <w:rFonts w:ascii="Verdana" w:hAnsi="Verdana"/>
          <w:lang w:bidi="en-US"/>
        </w:rPr>
      </w:pPr>
      <w:bookmarkStart w:id="4" w:name="_Toc71706001"/>
      <w:r w:rsidRPr="00E85371">
        <w:rPr>
          <w:rFonts w:ascii="Verdana" w:hAnsi="Verdana"/>
          <w:lang w:bidi="en-US"/>
        </w:rPr>
        <w:t>C</w:t>
      </w:r>
      <w:r w:rsidR="0017694E">
        <w:rPr>
          <w:rFonts w:ascii="Verdana" w:hAnsi="Verdana"/>
          <w:lang w:bidi="en-US"/>
        </w:rPr>
        <w:t>HD</w:t>
      </w:r>
      <w:r w:rsidRPr="00E85371">
        <w:rPr>
          <w:rFonts w:ascii="Verdana" w:hAnsi="Verdana"/>
          <w:lang w:bidi="en-US"/>
        </w:rPr>
        <w:t xml:space="preserve"> acceptance</w:t>
      </w:r>
      <w:bookmarkEnd w:id="4"/>
      <w:r w:rsidRPr="00E85371">
        <w:rPr>
          <w:rFonts w:ascii="Verdana" w:hAnsi="Verdana"/>
          <w:lang w:bidi="en-US"/>
        </w:rPr>
        <w:br/>
      </w:r>
    </w:p>
    <w:p w14:paraId="560FE868" w14:textId="77777777" w:rsidR="00350449" w:rsidRPr="00E85371" w:rsidRDefault="00350449" w:rsidP="00350449">
      <w:pPr>
        <w:pStyle w:val="ListParagraph"/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>C</w:t>
      </w:r>
      <w:r w:rsidR="0017694E">
        <w:rPr>
          <w:rFonts w:ascii="Verdana" w:hAnsi="Verdana"/>
          <w:lang w:bidi="en-US"/>
        </w:rPr>
        <w:t>HD</w:t>
      </w:r>
      <w:r w:rsidRPr="00E85371">
        <w:rPr>
          <w:rFonts w:ascii="Verdana" w:hAnsi="Verdana"/>
          <w:lang w:bidi="en-US"/>
        </w:rPr>
        <w:t xml:space="preserve"> can </w:t>
      </w:r>
      <w:r w:rsidR="00D87564" w:rsidRPr="00E85371">
        <w:rPr>
          <w:rFonts w:ascii="Verdana" w:hAnsi="Verdana"/>
          <w:lang w:bidi="en-US"/>
        </w:rPr>
        <w:t xml:space="preserve">ONLY </w:t>
      </w:r>
      <w:r w:rsidRPr="00E85371">
        <w:rPr>
          <w:rFonts w:ascii="Verdana" w:hAnsi="Verdana"/>
          <w:lang w:bidi="en-US"/>
        </w:rPr>
        <w:t>be accepted from customers via the following methods:</w:t>
      </w:r>
    </w:p>
    <w:p w14:paraId="3B53D345" w14:textId="21257A6B" w:rsidR="00350449" w:rsidRPr="00E85371" w:rsidRDefault="00350449" w:rsidP="00350449">
      <w:pPr>
        <w:numPr>
          <w:ilvl w:val="0"/>
          <w:numId w:val="28"/>
        </w:numPr>
        <w:rPr>
          <w:rFonts w:ascii="Verdana" w:hAnsi="Verdana"/>
        </w:rPr>
      </w:pPr>
      <w:r w:rsidRPr="00E85371">
        <w:rPr>
          <w:rFonts w:ascii="Verdana" w:hAnsi="Verdana"/>
          <w:lang w:bidi="en-US"/>
        </w:rPr>
        <w:t xml:space="preserve">Online </w:t>
      </w:r>
      <w:r w:rsidR="006A2DE9">
        <w:rPr>
          <w:rFonts w:ascii="Verdana" w:hAnsi="Verdana"/>
          <w:lang w:bidi="en-US"/>
        </w:rPr>
        <w:t>(</w:t>
      </w:r>
      <w:r w:rsidRPr="00E85371">
        <w:rPr>
          <w:rFonts w:ascii="Verdana" w:hAnsi="Verdana"/>
          <w:lang w:bidi="en-US"/>
        </w:rPr>
        <w:t>eCommerce</w:t>
      </w:r>
      <w:r w:rsidR="006A2DE9">
        <w:rPr>
          <w:rFonts w:ascii="Verdana" w:hAnsi="Verdana"/>
          <w:lang w:bidi="en-US"/>
        </w:rPr>
        <w:t xml:space="preserve">) via a website and/or payment link facilitated by a compliant third-party payment </w:t>
      </w:r>
      <w:r w:rsidR="00FB3DEC">
        <w:rPr>
          <w:rFonts w:ascii="Verdana" w:hAnsi="Verdana"/>
          <w:lang w:bidi="en-US"/>
        </w:rPr>
        <w:t>service</w:t>
      </w:r>
      <w:r w:rsidR="006A2DE9">
        <w:rPr>
          <w:rFonts w:ascii="Verdana" w:hAnsi="Verdana"/>
          <w:lang w:bidi="en-US"/>
        </w:rPr>
        <w:t xml:space="preserve"> </w:t>
      </w:r>
      <w:r w:rsidR="00FB3DEC">
        <w:rPr>
          <w:rFonts w:ascii="Verdana" w:hAnsi="Verdana"/>
          <w:lang w:bidi="en-US"/>
        </w:rPr>
        <w:t>provider.</w:t>
      </w:r>
    </w:p>
    <w:p w14:paraId="19DCD0B7" w14:textId="008A2F46" w:rsidR="00350449" w:rsidRPr="00E85371" w:rsidRDefault="00350449" w:rsidP="00350449">
      <w:pPr>
        <w:numPr>
          <w:ilvl w:val="0"/>
          <w:numId w:val="28"/>
        </w:numPr>
        <w:rPr>
          <w:rFonts w:ascii="Verdana" w:hAnsi="Verdana"/>
        </w:rPr>
      </w:pPr>
      <w:r w:rsidRPr="00E85371">
        <w:rPr>
          <w:rFonts w:ascii="Verdana" w:hAnsi="Verdana"/>
          <w:lang w:bidi="en-US"/>
        </w:rPr>
        <w:t>Face</w:t>
      </w:r>
      <w:r w:rsidR="0017694E">
        <w:rPr>
          <w:rFonts w:ascii="Verdana" w:hAnsi="Verdana"/>
          <w:lang w:bidi="en-US"/>
        </w:rPr>
        <w:t>-</w:t>
      </w:r>
      <w:r w:rsidRPr="00E85371">
        <w:rPr>
          <w:rFonts w:ascii="Verdana" w:hAnsi="Verdana"/>
          <w:lang w:bidi="en-US"/>
        </w:rPr>
        <w:t>to</w:t>
      </w:r>
      <w:r w:rsidR="0017694E">
        <w:rPr>
          <w:rFonts w:ascii="Verdana" w:hAnsi="Verdana"/>
          <w:lang w:bidi="en-US"/>
        </w:rPr>
        <w:t>-</w:t>
      </w:r>
      <w:r w:rsidRPr="00E85371">
        <w:rPr>
          <w:rFonts w:ascii="Verdana" w:hAnsi="Verdana"/>
          <w:lang w:bidi="en-US"/>
        </w:rPr>
        <w:t>Face via a payment device that has been</w:t>
      </w:r>
      <w:r w:rsidR="002A3033" w:rsidRPr="00E85371">
        <w:rPr>
          <w:rFonts w:ascii="Verdana" w:hAnsi="Verdana"/>
          <w:lang w:bidi="en-US"/>
        </w:rPr>
        <w:t xml:space="preserve"> provided by and/</w:t>
      </w:r>
      <w:r w:rsidRPr="00E85371">
        <w:rPr>
          <w:rFonts w:ascii="Verdana" w:hAnsi="Verdana"/>
          <w:lang w:bidi="en-US"/>
        </w:rPr>
        <w:t>or approved for use by t</w:t>
      </w:r>
      <w:r w:rsidR="00B4757B">
        <w:rPr>
          <w:rFonts w:ascii="Verdana" w:hAnsi="Verdana"/>
          <w:lang w:bidi="en-US"/>
        </w:rPr>
        <w:t>he Finance Compliance Team</w:t>
      </w:r>
    </w:p>
    <w:p w14:paraId="473FBD5E" w14:textId="50444F12" w:rsidR="00350449" w:rsidRPr="00E85371" w:rsidRDefault="00350449" w:rsidP="00350449">
      <w:pPr>
        <w:numPr>
          <w:ilvl w:val="0"/>
          <w:numId w:val="28"/>
        </w:numPr>
        <w:rPr>
          <w:rFonts w:ascii="Verdana" w:hAnsi="Verdana"/>
        </w:rPr>
      </w:pPr>
      <w:r w:rsidRPr="00E85371">
        <w:rPr>
          <w:rFonts w:ascii="Verdana" w:hAnsi="Verdana"/>
        </w:rPr>
        <w:t>Telephone</w:t>
      </w:r>
      <w:r w:rsidR="00AA1A45" w:rsidRPr="00E85371">
        <w:rPr>
          <w:rFonts w:ascii="Verdana" w:hAnsi="Verdana"/>
        </w:rPr>
        <w:t xml:space="preserve"> using approved telephone numbers that operate </w:t>
      </w:r>
      <w:r w:rsidR="0017694E">
        <w:rPr>
          <w:rFonts w:ascii="Verdana" w:hAnsi="Verdana"/>
        </w:rPr>
        <w:t>over</w:t>
      </w:r>
      <w:r w:rsidR="00AA1A45" w:rsidRPr="00E85371">
        <w:rPr>
          <w:rFonts w:ascii="Verdana" w:hAnsi="Verdana"/>
        </w:rPr>
        <w:t xml:space="preserve"> secure</w:t>
      </w:r>
      <w:r w:rsidR="0017694E">
        <w:rPr>
          <w:rFonts w:ascii="Verdana" w:hAnsi="Verdana"/>
        </w:rPr>
        <w:t xml:space="preserve"> (i.e. encrypted)</w:t>
      </w:r>
      <w:r w:rsidR="00AA1A45" w:rsidRPr="00E85371">
        <w:rPr>
          <w:rFonts w:ascii="Verdana" w:hAnsi="Verdana"/>
        </w:rPr>
        <w:t xml:space="preserve"> </w:t>
      </w:r>
      <w:r w:rsidR="006A6A9C">
        <w:rPr>
          <w:rFonts w:ascii="Verdana" w:hAnsi="Verdana"/>
        </w:rPr>
        <w:t xml:space="preserve">digital </w:t>
      </w:r>
      <w:r w:rsidR="00AA1A45" w:rsidRPr="00E85371">
        <w:rPr>
          <w:rFonts w:ascii="Verdana" w:hAnsi="Verdana"/>
        </w:rPr>
        <w:t>communication lines</w:t>
      </w:r>
      <w:r w:rsidR="006A6A9C">
        <w:rPr>
          <w:rFonts w:ascii="Verdana" w:hAnsi="Verdana"/>
        </w:rPr>
        <w:t>, analogue telephone lines or mobile (</w:t>
      </w:r>
      <w:r w:rsidR="007C7EE7">
        <w:rPr>
          <w:rFonts w:ascii="Verdana" w:hAnsi="Verdana"/>
        </w:rPr>
        <w:t>3G/</w:t>
      </w:r>
      <w:r w:rsidR="006A6A9C">
        <w:rPr>
          <w:rFonts w:ascii="Verdana" w:hAnsi="Verdana"/>
        </w:rPr>
        <w:t>4G/5G) communication technologies</w:t>
      </w:r>
      <w:r w:rsidR="00AA1A45" w:rsidRPr="00E85371">
        <w:rPr>
          <w:rFonts w:ascii="Verdana" w:hAnsi="Verdana"/>
        </w:rPr>
        <w:t xml:space="preserve">. </w:t>
      </w:r>
      <w:r w:rsidR="006A6A9C">
        <w:rPr>
          <w:rFonts w:ascii="Verdana" w:hAnsi="Verdana"/>
        </w:rPr>
        <w:t>Telephonic payments may be processed in low volumes for</w:t>
      </w:r>
      <w:r w:rsidRPr="00E85371">
        <w:rPr>
          <w:rFonts w:ascii="Verdana" w:hAnsi="Verdana"/>
        </w:rPr>
        <w:t>:</w:t>
      </w:r>
    </w:p>
    <w:p w14:paraId="7350A486" w14:textId="77777777" w:rsidR="00350449" w:rsidRPr="00E85371" w:rsidRDefault="00350449" w:rsidP="00350449">
      <w:pPr>
        <w:numPr>
          <w:ilvl w:val="1"/>
          <w:numId w:val="28"/>
        </w:numPr>
        <w:rPr>
          <w:rFonts w:ascii="Verdana" w:hAnsi="Verdana"/>
        </w:rPr>
      </w:pPr>
      <w:commentRangeStart w:id="5"/>
      <w:r w:rsidRPr="00E85371">
        <w:rPr>
          <w:rFonts w:ascii="Verdana" w:hAnsi="Verdana"/>
        </w:rPr>
        <w:t>Updat</w:t>
      </w:r>
      <w:r w:rsidR="006A6A9C">
        <w:rPr>
          <w:rFonts w:ascii="Verdana" w:hAnsi="Verdana"/>
        </w:rPr>
        <w:t>ing</w:t>
      </w:r>
      <w:r w:rsidRPr="00E85371">
        <w:rPr>
          <w:rFonts w:ascii="Verdana" w:hAnsi="Verdana"/>
        </w:rPr>
        <w:t xml:space="preserve"> </w:t>
      </w:r>
      <w:r w:rsidR="007C7EE7">
        <w:rPr>
          <w:rFonts w:ascii="Verdana" w:hAnsi="Verdana"/>
        </w:rPr>
        <w:t>recurring card payment</w:t>
      </w:r>
      <w:r w:rsidRPr="00E85371">
        <w:rPr>
          <w:rFonts w:ascii="Verdana" w:hAnsi="Verdana"/>
        </w:rPr>
        <w:t xml:space="preserve"> details</w:t>
      </w:r>
      <w:r w:rsidR="007C7EE7">
        <w:rPr>
          <w:rFonts w:ascii="Verdana" w:hAnsi="Verdana"/>
        </w:rPr>
        <w:t xml:space="preserve"> (if applicable)</w:t>
      </w:r>
      <w:r w:rsidR="00476EC8">
        <w:rPr>
          <w:rFonts w:ascii="Verdana" w:hAnsi="Verdana"/>
        </w:rPr>
        <w:t>;</w:t>
      </w:r>
      <w:commentRangeEnd w:id="5"/>
      <w:r w:rsidR="006E2F12">
        <w:rPr>
          <w:rStyle w:val="CommentReference"/>
        </w:rPr>
        <w:commentReference w:id="5"/>
      </w:r>
    </w:p>
    <w:p w14:paraId="77C49FAA" w14:textId="22A3D334" w:rsidR="00350449" w:rsidRPr="00E85371" w:rsidRDefault="00350449" w:rsidP="00350449">
      <w:pPr>
        <w:numPr>
          <w:ilvl w:val="1"/>
          <w:numId w:val="28"/>
        </w:numPr>
        <w:rPr>
          <w:rFonts w:ascii="Verdana" w:hAnsi="Verdana"/>
        </w:rPr>
      </w:pPr>
      <w:r w:rsidRPr="00E85371">
        <w:rPr>
          <w:rFonts w:ascii="Verdana" w:hAnsi="Verdana"/>
        </w:rPr>
        <w:t xml:space="preserve">Debt collection </w:t>
      </w:r>
      <w:r w:rsidR="00846821" w:rsidRPr="00E85371">
        <w:rPr>
          <w:rFonts w:ascii="Verdana" w:hAnsi="Verdana"/>
        </w:rPr>
        <w:t>payments</w:t>
      </w:r>
      <w:r w:rsidR="00846821">
        <w:rPr>
          <w:rFonts w:ascii="Verdana" w:hAnsi="Verdana"/>
        </w:rPr>
        <w:t>.</w:t>
      </w:r>
    </w:p>
    <w:p w14:paraId="4D2E27AE" w14:textId="1414BA5C" w:rsidR="00350449" w:rsidRPr="00E85371" w:rsidRDefault="00350449" w:rsidP="00350449">
      <w:pPr>
        <w:numPr>
          <w:ilvl w:val="1"/>
          <w:numId w:val="28"/>
        </w:numPr>
        <w:rPr>
          <w:rFonts w:ascii="Verdana" w:hAnsi="Verdana"/>
        </w:rPr>
      </w:pPr>
      <w:r w:rsidRPr="00E85371">
        <w:rPr>
          <w:rFonts w:ascii="Verdana" w:hAnsi="Verdana"/>
        </w:rPr>
        <w:t>One</w:t>
      </w:r>
      <w:r w:rsidR="00476EC8">
        <w:rPr>
          <w:rFonts w:ascii="Verdana" w:hAnsi="Verdana"/>
        </w:rPr>
        <w:t>-</w:t>
      </w:r>
      <w:r w:rsidRPr="00E85371">
        <w:rPr>
          <w:rFonts w:ascii="Verdana" w:hAnsi="Verdana"/>
        </w:rPr>
        <w:t xml:space="preserve">off payments due to lack of other methods being </w:t>
      </w:r>
      <w:r w:rsidR="00846821" w:rsidRPr="00E85371">
        <w:rPr>
          <w:rFonts w:ascii="Verdana" w:hAnsi="Verdana"/>
        </w:rPr>
        <w:t>unavailable</w:t>
      </w:r>
      <w:r w:rsidR="00846821">
        <w:rPr>
          <w:rFonts w:ascii="Verdana" w:hAnsi="Verdana"/>
        </w:rPr>
        <w:t>.</w:t>
      </w:r>
    </w:p>
    <w:p w14:paraId="7EB51FD7" w14:textId="3A66CF60" w:rsidR="008047D2" w:rsidRDefault="00846821" w:rsidP="00350449">
      <w:pPr>
        <w:numPr>
          <w:ilvl w:val="1"/>
          <w:numId w:val="28"/>
        </w:numPr>
        <w:rPr>
          <w:rFonts w:ascii="Verdana" w:hAnsi="Verdana"/>
        </w:rPr>
      </w:pPr>
      <w:r w:rsidRPr="00E85371">
        <w:rPr>
          <w:rFonts w:ascii="Verdana" w:hAnsi="Verdana"/>
        </w:rPr>
        <w:t>Refunds</w:t>
      </w:r>
      <w:r>
        <w:rPr>
          <w:rFonts w:ascii="Verdana" w:hAnsi="Verdana"/>
        </w:rPr>
        <w:t>.</w:t>
      </w:r>
    </w:p>
    <w:p w14:paraId="05936EF3" w14:textId="31DC8D04" w:rsidR="00204C32" w:rsidRDefault="00846821" w:rsidP="00350449">
      <w:pPr>
        <w:numPr>
          <w:ilvl w:val="1"/>
          <w:numId w:val="28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Donations.</w:t>
      </w:r>
    </w:p>
    <w:p w14:paraId="04140CDD" w14:textId="751A9B0E" w:rsidR="00D87564" w:rsidRPr="00E85371" w:rsidRDefault="00D87564" w:rsidP="00D87564">
      <w:pPr>
        <w:numPr>
          <w:ilvl w:val="0"/>
          <w:numId w:val="28"/>
        </w:numPr>
        <w:rPr>
          <w:rFonts w:ascii="Verdana" w:hAnsi="Verdana"/>
        </w:rPr>
      </w:pPr>
      <w:r w:rsidRPr="00E85371">
        <w:rPr>
          <w:rFonts w:ascii="Verdana" w:hAnsi="Verdana"/>
        </w:rPr>
        <w:t>C</w:t>
      </w:r>
      <w:r w:rsidR="006A6A9C">
        <w:rPr>
          <w:rFonts w:ascii="Verdana" w:hAnsi="Verdana"/>
        </w:rPr>
        <w:t>HD</w:t>
      </w:r>
      <w:r w:rsidRPr="00E85371">
        <w:rPr>
          <w:rFonts w:ascii="Verdana" w:hAnsi="Verdana"/>
        </w:rPr>
        <w:t xml:space="preserve"> will not be accepted via </w:t>
      </w:r>
      <w:r w:rsidR="002A5825">
        <w:rPr>
          <w:rFonts w:ascii="Verdana" w:hAnsi="Verdana"/>
        </w:rPr>
        <w:t>e</w:t>
      </w:r>
      <w:r w:rsidRPr="00E85371">
        <w:rPr>
          <w:rFonts w:ascii="Verdana" w:hAnsi="Verdana"/>
        </w:rPr>
        <w:t xml:space="preserve">mail, </w:t>
      </w:r>
      <w:r w:rsidR="002A5825">
        <w:rPr>
          <w:rFonts w:ascii="Verdana" w:hAnsi="Verdana"/>
        </w:rPr>
        <w:t>e</w:t>
      </w:r>
      <w:r w:rsidRPr="00E85371">
        <w:rPr>
          <w:rFonts w:ascii="Verdana" w:hAnsi="Verdana"/>
        </w:rPr>
        <w:t>nd</w:t>
      </w:r>
      <w:r w:rsidR="002A5825">
        <w:rPr>
          <w:rFonts w:ascii="Verdana" w:hAnsi="Verdana"/>
        </w:rPr>
        <w:t>-u</w:t>
      </w:r>
      <w:r w:rsidRPr="00E85371">
        <w:rPr>
          <w:rFonts w:ascii="Verdana" w:hAnsi="Verdana"/>
        </w:rPr>
        <w:t xml:space="preserve">ser </w:t>
      </w:r>
      <w:r w:rsidR="002A5825">
        <w:rPr>
          <w:rFonts w:ascii="Verdana" w:hAnsi="Verdana"/>
        </w:rPr>
        <w:t>m</w:t>
      </w:r>
      <w:r w:rsidRPr="00E85371">
        <w:rPr>
          <w:rFonts w:ascii="Verdana" w:hAnsi="Verdana"/>
        </w:rPr>
        <w:t>essaging (</w:t>
      </w:r>
      <w:r w:rsidR="00DD0D7F">
        <w:rPr>
          <w:rFonts w:ascii="Verdana" w:hAnsi="Verdana"/>
        </w:rPr>
        <w:t xml:space="preserve">e.g. </w:t>
      </w:r>
      <w:r w:rsidRPr="00E85371">
        <w:rPr>
          <w:rFonts w:ascii="Verdana" w:hAnsi="Verdana"/>
        </w:rPr>
        <w:t>Whats</w:t>
      </w:r>
      <w:r w:rsidR="002A5825">
        <w:rPr>
          <w:rFonts w:ascii="Verdana" w:hAnsi="Verdana"/>
        </w:rPr>
        <w:t>A</w:t>
      </w:r>
      <w:r w:rsidRPr="00E85371">
        <w:rPr>
          <w:rFonts w:ascii="Verdana" w:hAnsi="Verdana"/>
        </w:rPr>
        <w:t xml:space="preserve">pp, </w:t>
      </w:r>
      <w:r w:rsidR="00A43982">
        <w:rPr>
          <w:rFonts w:ascii="Verdana" w:hAnsi="Verdana"/>
        </w:rPr>
        <w:t>teams</w:t>
      </w:r>
      <w:r w:rsidR="0042585C">
        <w:rPr>
          <w:rFonts w:ascii="Verdana" w:hAnsi="Verdana"/>
        </w:rPr>
        <w:t xml:space="preserve"> or any office 365 suit </w:t>
      </w:r>
      <w:r w:rsidR="00713307">
        <w:rPr>
          <w:rFonts w:ascii="Verdana" w:hAnsi="Verdana"/>
        </w:rPr>
        <w:t>applications, Facebook</w:t>
      </w:r>
      <w:r w:rsidRPr="00E85371">
        <w:rPr>
          <w:rFonts w:ascii="Verdana" w:hAnsi="Verdana"/>
        </w:rPr>
        <w:t xml:space="preserve"> messenger), </w:t>
      </w:r>
      <w:r w:rsidR="002A5825">
        <w:rPr>
          <w:rFonts w:ascii="Verdana" w:hAnsi="Verdana"/>
        </w:rPr>
        <w:t>s</w:t>
      </w:r>
      <w:r w:rsidRPr="00E85371">
        <w:rPr>
          <w:rFonts w:ascii="Verdana" w:hAnsi="Verdana"/>
        </w:rPr>
        <w:t xml:space="preserve">ocial </w:t>
      </w:r>
      <w:r w:rsidR="002A5825">
        <w:rPr>
          <w:rFonts w:ascii="Verdana" w:hAnsi="Verdana"/>
        </w:rPr>
        <w:t>n</w:t>
      </w:r>
      <w:r w:rsidRPr="00E85371">
        <w:rPr>
          <w:rFonts w:ascii="Verdana" w:hAnsi="Verdana"/>
        </w:rPr>
        <w:t>etwork posts or other NON</w:t>
      </w:r>
      <w:r w:rsidR="0067069C">
        <w:rPr>
          <w:rFonts w:ascii="Verdana" w:hAnsi="Verdana"/>
        </w:rPr>
        <w:t>-</w:t>
      </w:r>
      <w:r w:rsidRPr="00E85371">
        <w:rPr>
          <w:rFonts w:ascii="Verdana" w:hAnsi="Verdana"/>
        </w:rPr>
        <w:t>approved communication channels.</w:t>
      </w:r>
    </w:p>
    <w:p w14:paraId="103E30B0" w14:textId="77777777" w:rsidR="00350449" w:rsidRPr="00E85371" w:rsidRDefault="00350449" w:rsidP="00350449">
      <w:pPr>
        <w:pStyle w:val="ListParagraph"/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>When processing telephone payments, operators should</w:t>
      </w:r>
      <w:r w:rsidR="008047D2" w:rsidRPr="00E85371">
        <w:rPr>
          <w:rFonts w:ascii="Verdana" w:hAnsi="Verdana"/>
          <w:lang w:bidi="en-US"/>
        </w:rPr>
        <w:t>:</w:t>
      </w:r>
      <w:r w:rsidR="006033B8">
        <w:rPr>
          <w:rFonts w:ascii="Verdana" w:hAnsi="Verdana"/>
          <w:lang w:bidi="en-US"/>
        </w:rPr>
        <w:br/>
      </w:r>
    </w:p>
    <w:p w14:paraId="3CDE7E78" w14:textId="3F03745D" w:rsidR="008047D2" w:rsidRPr="00E85371" w:rsidRDefault="00350449" w:rsidP="008047D2">
      <w:pPr>
        <w:pStyle w:val="ListParagraph"/>
        <w:numPr>
          <w:ilvl w:val="0"/>
          <w:numId w:val="29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Enter the </w:t>
      </w:r>
      <w:r w:rsidR="007C7EE7">
        <w:rPr>
          <w:rFonts w:ascii="Verdana" w:hAnsi="Verdana"/>
          <w:lang w:bidi="en-US"/>
        </w:rPr>
        <w:t>CHD</w:t>
      </w:r>
      <w:r w:rsidRPr="00E85371">
        <w:rPr>
          <w:rFonts w:ascii="Verdana" w:hAnsi="Verdana"/>
          <w:lang w:bidi="en-US"/>
        </w:rPr>
        <w:t xml:space="preserve"> directly into the device</w:t>
      </w:r>
      <w:r w:rsidR="008E0AA8">
        <w:rPr>
          <w:rFonts w:ascii="Verdana" w:hAnsi="Verdana"/>
          <w:lang w:bidi="en-US"/>
        </w:rPr>
        <w:t xml:space="preserve"> or application or website</w:t>
      </w:r>
      <w:r w:rsidRPr="00E85371">
        <w:rPr>
          <w:rFonts w:ascii="Verdana" w:hAnsi="Verdana"/>
          <w:lang w:bidi="en-US"/>
        </w:rPr>
        <w:t xml:space="preserve"> for payment processing</w:t>
      </w:r>
      <w:r w:rsidR="008E0AA8">
        <w:rPr>
          <w:rFonts w:ascii="Verdana" w:hAnsi="Verdana"/>
          <w:lang w:bidi="en-US"/>
        </w:rPr>
        <w:t>;</w:t>
      </w:r>
      <w:r w:rsidRPr="00E85371">
        <w:rPr>
          <w:rFonts w:ascii="Verdana" w:hAnsi="Verdana"/>
          <w:lang w:bidi="en-US"/>
        </w:rPr>
        <w:t xml:space="preserve"> </w:t>
      </w:r>
      <w:r w:rsidR="00D87564" w:rsidRPr="00E85371">
        <w:rPr>
          <w:rFonts w:ascii="Verdana" w:hAnsi="Verdana"/>
          <w:lang w:bidi="en-US"/>
        </w:rPr>
        <w:br/>
      </w:r>
    </w:p>
    <w:p w14:paraId="3EA693B7" w14:textId="77777777" w:rsidR="008047D2" w:rsidRPr="00183D0A" w:rsidRDefault="008047D2" w:rsidP="008047D2">
      <w:pPr>
        <w:pStyle w:val="ListParagraph"/>
        <w:numPr>
          <w:ilvl w:val="0"/>
          <w:numId w:val="29"/>
        </w:numPr>
        <w:rPr>
          <w:rFonts w:ascii="Verdana" w:hAnsi="Verdana"/>
          <w:lang w:bidi="en-US"/>
        </w:rPr>
      </w:pPr>
      <w:commentRangeStart w:id="6"/>
      <w:r w:rsidRPr="00E85371">
        <w:rPr>
          <w:rFonts w:ascii="Verdana" w:hAnsi="Verdana"/>
          <w:lang w:bidi="en-US"/>
        </w:rPr>
        <w:t>Ensure that they cannot be overheard or overlooked when taking the card payment</w:t>
      </w:r>
      <w:r w:rsidR="008E0AA8">
        <w:rPr>
          <w:rFonts w:ascii="Verdana" w:hAnsi="Verdana"/>
          <w:lang w:bidi="en-US"/>
        </w:rPr>
        <w:t>;</w:t>
      </w:r>
      <w:commentRangeEnd w:id="6"/>
      <w:r w:rsidR="00F86B68">
        <w:rPr>
          <w:rStyle w:val="CommentReference"/>
        </w:rPr>
        <w:commentReference w:id="6"/>
      </w:r>
      <w:r w:rsidRPr="00E85371">
        <w:rPr>
          <w:rFonts w:ascii="Verdana" w:hAnsi="Verdana"/>
          <w:lang w:bidi="en-US"/>
        </w:rPr>
        <w:br/>
      </w:r>
    </w:p>
    <w:p w14:paraId="177DB052" w14:textId="77777777" w:rsidR="008047D2" w:rsidRPr="00183D0A" w:rsidRDefault="008047D2" w:rsidP="008047D2">
      <w:pPr>
        <w:pStyle w:val="ListParagraph"/>
        <w:numPr>
          <w:ilvl w:val="0"/>
          <w:numId w:val="29"/>
        </w:numPr>
        <w:rPr>
          <w:rFonts w:ascii="Verdana" w:hAnsi="Verdana"/>
          <w:lang w:bidi="en-US"/>
        </w:rPr>
      </w:pPr>
      <w:r w:rsidRPr="00183D0A">
        <w:rPr>
          <w:rFonts w:ascii="Verdana" w:hAnsi="Verdana"/>
          <w:lang w:bidi="en-US"/>
        </w:rPr>
        <w:t>Do not repeat back any part of the card data to the client for confirmation.</w:t>
      </w:r>
    </w:p>
    <w:p w14:paraId="4BE1EF4A" w14:textId="77777777" w:rsidR="00B651FD" w:rsidRPr="00183D0A" w:rsidRDefault="008047D2" w:rsidP="008047D2">
      <w:pPr>
        <w:pStyle w:val="ListNumber"/>
        <w:rPr>
          <w:rFonts w:ascii="Verdana" w:hAnsi="Verdana"/>
          <w:lang w:bidi="en-US"/>
        </w:rPr>
      </w:pPr>
      <w:r w:rsidRPr="00183D0A">
        <w:rPr>
          <w:rFonts w:ascii="Verdana" w:hAnsi="Verdana"/>
          <w:lang w:bidi="en-US"/>
        </w:rPr>
        <w:t>When a refund is required to be made back to a customer’s card, the operator should:</w:t>
      </w:r>
      <w:r w:rsidR="00B651FD" w:rsidRPr="00183D0A">
        <w:rPr>
          <w:rFonts w:ascii="Verdana" w:hAnsi="Verdana"/>
          <w:lang w:bidi="en-US"/>
        </w:rPr>
        <w:br/>
      </w:r>
    </w:p>
    <w:p w14:paraId="35A5B7E2" w14:textId="77777777" w:rsidR="002A3033" w:rsidRPr="00183D0A" w:rsidRDefault="008047D2" w:rsidP="002A3033">
      <w:pPr>
        <w:pStyle w:val="ListNumber"/>
        <w:numPr>
          <w:ilvl w:val="0"/>
          <w:numId w:val="30"/>
        </w:numPr>
        <w:rPr>
          <w:rFonts w:ascii="Verdana" w:hAnsi="Verdana"/>
          <w:lang w:bidi="en-US"/>
        </w:rPr>
      </w:pPr>
      <w:r w:rsidRPr="00183D0A">
        <w:rPr>
          <w:rFonts w:ascii="Verdana" w:hAnsi="Verdana"/>
          <w:lang w:bidi="en-US"/>
        </w:rPr>
        <w:t>Establish if the refund can be made by reversing the payment transaction without requiring card data.</w:t>
      </w:r>
      <w:r w:rsidR="002A3033" w:rsidRPr="00183D0A">
        <w:rPr>
          <w:rFonts w:ascii="Verdana" w:hAnsi="Verdana"/>
          <w:lang w:bidi="en-US"/>
        </w:rPr>
        <w:t xml:space="preserve"> This should be the preferred option</w:t>
      </w:r>
      <w:r w:rsidR="002A3033" w:rsidRPr="00183D0A">
        <w:rPr>
          <w:rFonts w:ascii="Verdana" w:hAnsi="Verdana"/>
          <w:lang w:bidi="en-US"/>
        </w:rPr>
        <w:br/>
      </w:r>
    </w:p>
    <w:p w14:paraId="318C3650" w14:textId="18BB68AA" w:rsidR="00B651FD" w:rsidRPr="00183D0A" w:rsidRDefault="008047D2" w:rsidP="002A3033">
      <w:pPr>
        <w:pStyle w:val="ListNumber"/>
        <w:numPr>
          <w:ilvl w:val="0"/>
          <w:numId w:val="30"/>
        </w:numPr>
        <w:rPr>
          <w:rFonts w:ascii="Verdana" w:hAnsi="Verdana"/>
          <w:lang w:bidi="en-US"/>
        </w:rPr>
      </w:pPr>
      <w:r w:rsidRPr="00183D0A">
        <w:rPr>
          <w:rFonts w:ascii="Verdana" w:hAnsi="Verdana"/>
          <w:lang w:bidi="en-US"/>
        </w:rPr>
        <w:t>Alternatively</w:t>
      </w:r>
      <w:r w:rsidR="001743C2" w:rsidRPr="00183D0A">
        <w:rPr>
          <w:rFonts w:ascii="Verdana" w:hAnsi="Verdana"/>
          <w:lang w:bidi="en-US"/>
        </w:rPr>
        <w:t>,</w:t>
      </w:r>
      <w:r w:rsidRPr="00183D0A">
        <w:rPr>
          <w:rFonts w:ascii="Verdana" w:hAnsi="Verdana"/>
          <w:lang w:bidi="en-US"/>
        </w:rPr>
        <w:t xml:space="preserve"> </w:t>
      </w:r>
      <w:r w:rsidR="00D8458E" w:rsidRPr="00183D0A">
        <w:rPr>
          <w:rFonts w:ascii="Verdana" w:hAnsi="Verdana"/>
          <w:lang w:bidi="en-US"/>
        </w:rPr>
        <w:t>v</w:t>
      </w:r>
      <w:r w:rsidRPr="00183D0A">
        <w:rPr>
          <w:rFonts w:ascii="Verdana" w:hAnsi="Verdana"/>
          <w:lang w:bidi="en-US"/>
        </w:rPr>
        <w:t>alidate the card is the original card that made the payment</w:t>
      </w:r>
      <w:r w:rsidR="002A3033" w:rsidRPr="00183D0A">
        <w:rPr>
          <w:rFonts w:ascii="Verdana" w:hAnsi="Verdana"/>
          <w:lang w:bidi="en-US"/>
        </w:rPr>
        <w:t xml:space="preserve"> and follow the </w:t>
      </w:r>
      <w:r w:rsidR="004711EC" w:rsidRPr="00183D0A">
        <w:rPr>
          <w:rFonts w:ascii="Verdana" w:hAnsi="Verdana"/>
          <w:lang w:bidi="en-US"/>
        </w:rPr>
        <w:t xml:space="preserve">relevant Imperial </w:t>
      </w:r>
      <w:r w:rsidR="002A3033" w:rsidRPr="00183D0A">
        <w:rPr>
          <w:rFonts w:ascii="Verdana" w:hAnsi="Verdana"/>
          <w:lang w:bidi="en-US"/>
        </w:rPr>
        <w:t xml:space="preserve">refund </w:t>
      </w:r>
      <w:r w:rsidR="00DD0B97" w:rsidRPr="00183D0A">
        <w:rPr>
          <w:rFonts w:ascii="Verdana" w:hAnsi="Verdana"/>
          <w:lang w:bidi="en-US"/>
        </w:rPr>
        <w:t>instructions.</w:t>
      </w:r>
    </w:p>
    <w:p w14:paraId="6B0C7367" w14:textId="77777777" w:rsidR="00B651FD" w:rsidRPr="00183D0A" w:rsidRDefault="00B651FD" w:rsidP="00B651FD">
      <w:pPr>
        <w:pStyle w:val="ListNumber"/>
        <w:numPr>
          <w:ilvl w:val="0"/>
          <w:numId w:val="0"/>
        </w:numPr>
        <w:ind w:left="360" w:hanging="360"/>
        <w:rPr>
          <w:rFonts w:ascii="Verdana" w:hAnsi="Verdana"/>
          <w:lang w:bidi="en-US"/>
        </w:rPr>
      </w:pPr>
    </w:p>
    <w:p w14:paraId="57B4162D" w14:textId="38CBA60F" w:rsidR="00350449" w:rsidRPr="00E85371" w:rsidRDefault="00B651FD" w:rsidP="00183D0A">
      <w:pPr>
        <w:pStyle w:val="ListNumber"/>
        <w:rPr>
          <w:lang w:bidi="en-US"/>
        </w:rPr>
      </w:pPr>
      <w:r w:rsidRPr="00183D0A">
        <w:rPr>
          <w:rFonts w:ascii="Verdana" w:hAnsi="Verdana"/>
          <w:lang w:bidi="en-US"/>
        </w:rPr>
        <w:t>Only devices issued o</w:t>
      </w:r>
      <w:r w:rsidR="00204C32" w:rsidRPr="00183D0A">
        <w:rPr>
          <w:rFonts w:ascii="Verdana" w:hAnsi="Verdana"/>
          <w:lang w:bidi="en-US"/>
        </w:rPr>
        <w:t xml:space="preserve">r payment services approved by Imperial’s </w:t>
      </w:r>
      <w:r w:rsidR="00DD0B97">
        <w:rPr>
          <w:rFonts w:ascii="Verdana" w:hAnsi="Verdana"/>
          <w:lang w:bidi="en-US"/>
        </w:rPr>
        <w:t xml:space="preserve">Finance Compliance </w:t>
      </w:r>
      <w:r w:rsidR="00204C32" w:rsidRPr="00183D0A">
        <w:rPr>
          <w:rFonts w:ascii="Verdana" w:hAnsi="Verdana"/>
          <w:lang w:bidi="en-US"/>
        </w:rPr>
        <w:t xml:space="preserve"> team</w:t>
      </w:r>
      <w:r w:rsidR="006033B8" w:rsidRPr="00183D0A">
        <w:rPr>
          <w:rFonts w:ascii="Verdana" w:hAnsi="Verdana"/>
          <w:color w:val="FF0000"/>
        </w:rPr>
        <w:t xml:space="preserve"> </w:t>
      </w:r>
      <w:r w:rsidRPr="00183D0A">
        <w:rPr>
          <w:rFonts w:ascii="Verdana" w:hAnsi="Verdana"/>
        </w:rPr>
        <w:t>will be used to process payments. For more information about processing c</w:t>
      </w:r>
      <w:r w:rsidR="00204C32" w:rsidRPr="00183D0A">
        <w:rPr>
          <w:rFonts w:ascii="Verdana" w:hAnsi="Verdana"/>
        </w:rPr>
        <w:t>ard payments</w:t>
      </w:r>
      <w:r w:rsidR="008E0AA8" w:rsidRPr="00183D0A">
        <w:rPr>
          <w:rFonts w:ascii="Verdana" w:hAnsi="Verdana"/>
        </w:rPr>
        <w:t>,</w:t>
      </w:r>
      <w:r w:rsidR="00204C32" w:rsidRPr="00183D0A">
        <w:rPr>
          <w:rFonts w:ascii="Verdana" w:hAnsi="Verdana"/>
        </w:rPr>
        <w:t xml:space="preserve"> please contact the Finance </w:t>
      </w:r>
      <w:r w:rsidR="00DD0B97">
        <w:rPr>
          <w:rFonts w:ascii="Verdana" w:hAnsi="Verdana"/>
        </w:rPr>
        <w:t xml:space="preserve">Compliance </w:t>
      </w:r>
      <w:r w:rsidR="00204C32" w:rsidRPr="00183D0A">
        <w:rPr>
          <w:rFonts w:ascii="Verdana" w:hAnsi="Verdana"/>
        </w:rPr>
        <w:t>team</w:t>
      </w:r>
      <w:r w:rsidR="00183D0A" w:rsidRPr="00183D0A">
        <w:rPr>
          <w:rFonts w:ascii="Verdana" w:hAnsi="Verdana"/>
        </w:rPr>
        <w:t xml:space="preserve"> (</w:t>
      </w:r>
      <w:r w:rsidR="00DD0B97">
        <w:rPr>
          <w:rFonts w:ascii="Verdana" w:hAnsi="Verdana"/>
        </w:rPr>
        <w:t xml:space="preserve">financecompliance@imperial.ac.uk </w:t>
      </w:r>
      <w:r w:rsidR="00183D0A" w:rsidRPr="00183D0A">
        <w:rPr>
          <w:rFonts w:ascii="Verdana" w:hAnsi="Verdana"/>
        </w:rPr>
        <w:t>)</w:t>
      </w:r>
      <w:r w:rsidR="00204C32" w:rsidRPr="00183D0A">
        <w:rPr>
          <w:rFonts w:ascii="Verdana" w:hAnsi="Verdana"/>
        </w:rPr>
        <w:t>.</w:t>
      </w:r>
      <w:r w:rsidRPr="00183D0A">
        <w:rPr>
          <w:rFonts w:ascii="Verdana" w:hAnsi="Verdana"/>
          <w:lang w:bidi="en-US"/>
        </w:rPr>
        <w:br/>
      </w:r>
      <w:r w:rsidR="00350449" w:rsidRPr="00E85371">
        <w:rPr>
          <w:lang w:bidi="en-US"/>
        </w:rPr>
        <w:br/>
      </w:r>
    </w:p>
    <w:p w14:paraId="32C39B95" w14:textId="77777777" w:rsidR="00B70B69" w:rsidRPr="00E85371" w:rsidRDefault="00B70B69" w:rsidP="00B70B69">
      <w:pPr>
        <w:pStyle w:val="Heading2"/>
        <w:rPr>
          <w:rFonts w:ascii="Verdana" w:hAnsi="Verdana"/>
          <w:lang w:bidi="en-US"/>
        </w:rPr>
      </w:pPr>
      <w:bookmarkStart w:id="7" w:name="_Toc71706002"/>
      <w:r w:rsidRPr="00E85371">
        <w:rPr>
          <w:rFonts w:ascii="Verdana" w:hAnsi="Verdana"/>
          <w:lang w:bidi="en-US"/>
        </w:rPr>
        <w:t>Data at rest</w:t>
      </w:r>
      <w:bookmarkEnd w:id="7"/>
      <w:r w:rsidR="002A3033" w:rsidRPr="00E85371">
        <w:rPr>
          <w:rFonts w:ascii="Verdana" w:hAnsi="Verdana"/>
          <w:lang w:bidi="en-US"/>
        </w:rPr>
        <w:br/>
      </w:r>
    </w:p>
    <w:p w14:paraId="24BAA328" w14:textId="77AE6DF4" w:rsidR="00341B56" w:rsidRDefault="00B651FD" w:rsidP="00341B56">
      <w:pPr>
        <w:pStyle w:val="ListNumber"/>
        <w:rPr>
          <w:rFonts w:ascii="Verdana" w:hAnsi="Verdana"/>
        </w:rPr>
      </w:pPr>
      <w:r w:rsidRPr="00E85371">
        <w:rPr>
          <w:rFonts w:ascii="Verdana" w:hAnsi="Verdana"/>
        </w:rPr>
        <w:t xml:space="preserve">The storage of card data under normal circumstances should not be required by the </w:t>
      </w:r>
      <w:r w:rsidR="0019394B" w:rsidRPr="00E85371">
        <w:rPr>
          <w:rFonts w:ascii="Verdana" w:hAnsi="Verdana"/>
        </w:rPr>
        <w:t>organisation.</w:t>
      </w:r>
    </w:p>
    <w:p w14:paraId="74202C42" w14:textId="6CC38B0F" w:rsidR="00B70B69" w:rsidRPr="00E85371" w:rsidRDefault="00B70B69" w:rsidP="00B70B69">
      <w:pPr>
        <w:pStyle w:val="Heading2"/>
        <w:rPr>
          <w:rFonts w:ascii="Verdana" w:hAnsi="Verdana"/>
          <w:lang w:bidi="en-US"/>
        </w:rPr>
      </w:pPr>
      <w:bookmarkStart w:id="8" w:name="_Toc71706003"/>
      <w:r w:rsidRPr="00E85371">
        <w:rPr>
          <w:rFonts w:ascii="Verdana" w:hAnsi="Verdana"/>
          <w:lang w:bidi="en-US"/>
        </w:rPr>
        <w:t>Data in transit</w:t>
      </w:r>
      <w:bookmarkEnd w:id="8"/>
    </w:p>
    <w:p w14:paraId="114ECD00" w14:textId="5AFFF2D9" w:rsidR="00B70B69" w:rsidRPr="00E85371" w:rsidRDefault="00B651FD" w:rsidP="00B70B69">
      <w:p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br/>
        <w:t xml:space="preserve">There will always be some sort of movement of </w:t>
      </w:r>
      <w:r w:rsidR="006B5FAA">
        <w:rPr>
          <w:rFonts w:ascii="Verdana" w:hAnsi="Verdana"/>
          <w:lang w:bidi="en-US"/>
        </w:rPr>
        <w:t>CHD</w:t>
      </w:r>
      <w:r w:rsidRPr="00E85371">
        <w:rPr>
          <w:rFonts w:ascii="Verdana" w:hAnsi="Verdana"/>
          <w:lang w:bidi="en-US"/>
        </w:rPr>
        <w:t xml:space="preserve"> within </w:t>
      </w:r>
      <w:r w:rsidR="006B5FAA">
        <w:rPr>
          <w:rFonts w:ascii="Verdana" w:hAnsi="Verdana"/>
          <w:lang w:bidi="en-US"/>
        </w:rPr>
        <w:t>Imperial</w:t>
      </w:r>
      <w:r w:rsidRPr="00E85371">
        <w:rPr>
          <w:rFonts w:ascii="Verdana" w:hAnsi="Verdana"/>
          <w:lang w:bidi="en-US"/>
        </w:rPr>
        <w:t xml:space="preserve">, </w:t>
      </w:r>
      <w:r w:rsidR="006B5FAA">
        <w:rPr>
          <w:rFonts w:ascii="Verdana" w:hAnsi="Verdana"/>
          <w:lang w:bidi="en-US"/>
        </w:rPr>
        <w:t>whether</w:t>
      </w:r>
      <w:r w:rsidR="007558C6" w:rsidRPr="00E85371">
        <w:rPr>
          <w:rFonts w:ascii="Verdana" w:hAnsi="Verdana"/>
          <w:lang w:bidi="en-US"/>
        </w:rPr>
        <w:t xml:space="preserve"> digital transmission or physical movement.</w:t>
      </w:r>
      <w:r w:rsidRPr="00E85371">
        <w:rPr>
          <w:rFonts w:ascii="Verdana" w:hAnsi="Verdana"/>
          <w:lang w:bidi="en-US"/>
        </w:rPr>
        <w:t xml:space="preserve"> </w:t>
      </w:r>
      <w:r w:rsidRPr="00E85371">
        <w:rPr>
          <w:rFonts w:ascii="Verdana" w:hAnsi="Verdana"/>
          <w:lang w:bidi="en-US"/>
        </w:rPr>
        <w:br/>
      </w:r>
      <w:r w:rsidR="007558C6" w:rsidRPr="00E85371">
        <w:rPr>
          <w:rFonts w:ascii="Verdana" w:hAnsi="Verdana"/>
          <w:lang w:bidi="en-US"/>
        </w:rPr>
        <w:br/>
        <w:t xml:space="preserve">Transmission of </w:t>
      </w:r>
      <w:r w:rsidR="006B5FAA">
        <w:rPr>
          <w:rFonts w:ascii="Verdana" w:hAnsi="Verdana"/>
          <w:lang w:bidi="en-US"/>
        </w:rPr>
        <w:t>CHD</w:t>
      </w:r>
      <w:r w:rsidR="001743C2">
        <w:rPr>
          <w:rFonts w:ascii="Verdana" w:hAnsi="Verdana"/>
          <w:lang w:bidi="en-US"/>
        </w:rPr>
        <w:t xml:space="preserve"> </w:t>
      </w:r>
      <w:r w:rsidR="007558C6" w:rsidRPr="00E85371">
        <w:rPr>
          <w:rFonts w:ascii="Verdana" w:hAnsi="Verdana"/>
          <w:lang w:bidi="en-US"/>
        </w:rPr>
        <w:t xml:space="preserve">in a digital format will only </w:t>
      </w:r>
      <w:r w:rsidR="006B5FAA">
        <w:rPr>
          <w:rFonts w:ascii="Verdana" w:hAnsi="Verdana"/>
          <w:lang w:bidi="en-US"/>
        </w:rPr>
        <w:t>occur</w:t>
      </w:r>
      <w:r w:rsidR="007558C6" w:rsidRPr="00E85371">
        <w:rPr>
          <w:rFonts w:ascii="Verdana" w:hAnsi="Verdana"/>
          <w:lang w:bidi="en-US"/>
        </w:rPr>
        <w:t xml:space="preserve"> during the acceptance and processing and will be protected as follows:</w:t>
      </w:r>
    </w:p>
    <w:p w14:paraId="171B3791" w14:textId="18099F95" w:rsidR="00B70B69" w:rsidRPr="00E85371" w:rsidRDefault="006B5FAA" w:rsidP="007558C6">
      <w:pPr>
        <w:numPr>
          <w:ilvl w:val="0"/>
          <w:numId w:val="27"/>
        </w:numPr>
        <w:rPr>
          <w:rFonts w:ascii="Verdana" w:hAnsi="Verdana"/>
          <w:lang w:bidi="en-US"/>
        </w:rPr>
      </w:pPr>
      <w:r>
        <w:rPr>
          <w:rFonts w:ascii="Verdana" w:hAnsi="Verdana"/>
          <w:lang w:bidi="en-US"/>
        </w:rPr>
        <w:lastRenderedPageBreak/>
        <w:t>CHD</w:t>
      </w:r>
      <w:r w:rsidR="00B70B69" w:rsidRPr="00E85371">
        <w:rPr>
          <w:rFonts w:ascii="Verdana" w:hAnsi="Verdana"/>
          <w:lang w:bidi="en-US"/>
        </w:rPr>
        <w:t xml:space="preserve"> shall be encrypted using strong cryptography and security protocols in accordance with the current version of the PCI DSS when transmit</w:t>
      </w:r>
      <w:r w:rsidR="007558C6" w:rsidRPr="00E85371">
        <w:rPr>
          <w:rFonts w:ascii="Verdana" w:hAnsi="Verdana"/>
          <w:lang w:bidi="en-US"/>
        </w:rPr>
        <w:t>ted over open, public networks.</w:t>
      </w:r>
    </w:p>
    <w:p w14:paraId="0A2F82DB" w14:textId="364E7FFB" w:rsidR="003F5BAE" w:rsidRPr="00E85371" w:rsidRDefault="006B5FAA" w:rsidP="00B70B69">
      <w:pPr>
        <w:numPr>
          <w:ilvl w:val="0"/>
          <w:numId w:val="27"/>
        </w:numPr>
        <w:rPr>
          <w:rFonts w:ascii="Verdana" w:hAnsi="Verdana"/>
          <w:lang w:bidi="en-US"/>
        </w:rPr>
      </w:pPr>
      <w:r>
        <w:rPr>
          <w:rFonts w:ascii="Verdana" w:hAnsi="Verdana"/>
          <w:lang w:bidi="en-US"/>
        </w:rPr>
        <w:t xml:space="preserve">CHD </w:t>
      </w:r>
      <w:r w:rsidR="00B70B69" w:rsidRPr="00E85371">
        <w:rPr>
          <w:rFonts w:ascii="Verdana" w:hAnsi="Verdana"/>
          <w:lang w:bidi="en-US"/>
        </w:rPr>
        <w:t>shall not be sent via end</w:t>
      </w:r>
      <w:r>
        <w:rPr>
          <w:rFonts w:ascii="Verdana" w:hAnsi="Verdana"/>
          <w:lang w:bidi="en-US"/>
        </w:rPr>
        <w:t>-</w:t>
      </w:r>
      <w:r w:rsidR="00B70B69" w:rsidRPr="00E85371">
        <w:rPr>
          <w:rFonts w:ascii="Verdana" w:hAnsi="Verdana"/>
          <w:lang w:bidi="en-US"/>
        </w:rPr>
        <w:t xml:space="preserve">user messaging technologies, such as email, </w:t>
      </w:r>
      <w:r>
        <w:rPr>
          <w:rFonts w:ascii="Verdana" w:hAnsi="Verdana"/>
          <w:lang w:bidi="en-US"/>
        </w:rPr>
        <w:t>M</w:t>
      </w:r>
      <w:r w:rsidR="00B70B69" w:rsidRPr="00E85371">
        <w:rPr>
          <w:rFonts w:ascii="Verdana" w:hAnsi="Verdana"/>
          <w:lang w:bidi="en-US"/>
        </w:rPr>
        <w:t>ess</w:t>
      </w:r>
      <w:r>
        <w:rPr>
          <w:rFonts w:ascii="Verdana" w:hAnsi="Verdana"/>
          <w:lang w:bidi="en-US"/>
        </w:rPr>
        <w:t>enger</w:t>
      </w:r>
      <w:r w:rsidR="00B70B69" w:rsidRPr="00E85371">
        <w:rPr>
          <w:rFonts w:ascii="Verdana" w:hAnsi="Verdana"/>
          <w:lang w:bidi="en-US"/>
        </w:rPr>
        <w:t xml:space="preserve">, SMS, </w:t>
      </w:r>
      <w:r w:rsidR="001743C2" w:rsidRPr="00E85371">
        <w:rPr>
          <w:rFonts w:ascii="Verdana" w:hAnsi="Verdana"/>
          <w:lang w:bidi="en-US"/>
        </w:rPr>
        <w:t>Skype</w:t>
      </w:r>
      <w:r w:rsidR="007558C6" w:rsidRPr="00E85371">
        <w:rPr>
          <w:rFonts w:ascii="Verdana" w:hAnsi="Verdana"/>
          <w:lang w:bidi="en-US"/>
        </w:rPr>
        <w:t xml:space="preserve">, </w:t>
      </w:r>
      <w:r w:rsidR="001743C2">
        <w:rPr>
          <w:rFonts w:ascii="Verdana" w:hAnsi="Verdana"/>
          <w:lang w:bidi="en-US"/>
        </w:rPr>
        <w:t>W</w:t>
      </w:r>
      <w:r w:rsidR="007558C6" w:rsidRPr="00E85371">
        <w:rPr>
          <w:rFonts w:ascii="Verdana" w:hAnsi="Verdana"/>
          <w:lang w:bidi="en-US"/>
        </w:rPr>
        <w:t>hats</w:t>
      </w:r>
      <w:r>
        <w:rPr>
          <w:rFonts w:ascii="Verdana" w:hAnsi="Verdana"/>
          <w:lang w:bidi="en-US"/>
        </w:rPr>
        <w:t>A</w:t>
      </w:r>
      <w:r w:rsidR="007558C6" w:rsidRPr="00E85371">
        <w:rPr>
          <w:rFonts w:ascii="Verdana" w:hAnsi="Verdana"/>
          <w:lang w:bidi="en-US"/>
        </w:rPr>
        <w:t>pp, social media or other types of messaging.</w:t>
      </w:r>
    </w:p>
    <w:p w14:paraId="5BBBC27B" w14:textId="5917E947" w:rsidR="007C4AE2" w:rsidRPr="00E85371" w:rsidRDefault="006B5FAA" w:rsidP="007C4AE2">
      <w:pPr>
        <w:numPr>
          <w:ilvl w:val="0"/>
          <w:numId w:val="27"/>
        </w:numPr>
        <w:rPr>
          <w:rFonts w:ascii="Verdana" w:hAnsi="Verdana"/>
          <w:lang w:bidi="en-US"/>
        </w:rPr>
      </w:pPr>
      <w:r>
        <w:rPr>
          <w:rFonts w:ascii="Verdana" w:hAnsi="Verdana"/>
          <w:lang w:bidi="en-US"/>
        </w:rPr>
        <w:t>CHD</w:t>
      </w:r>
      <w:r w:rsidR="003F5BAE" w:rsidRPr="00E85371">
        <w:rPr>
          <w:rFonts w:ascii="Verdana" w:hAnsi="Verdana"/>
          <w:lang w:bidi="en-US"/>
        </w:rPr>
        <w:t xml:space="preserve"> shall not be sent over </w:t>
      </w:r>
      <w:r w:rsidR="00476EC8" w:rsidRPr="00E85371">
        <w:rPr>
          <w:rFonts w:ascii="Verdana" w:hAnsi="Verdana"/>
          <w:lang w:bidi="en-US"/>
        </w:rPr>
        <w:t>Wi-Fi</w:t>
      </w:r>
      <w:r w:rsidR="003F5BAE" w:rsidRPr="00E85371">
        <w:rPr>
          <w:rFonts w:ascii="Verdana" w:hAnsi="Verdana"/>
          <w:lang w:bidi="en-US"/>
        </w:rPr>
        <w:t xml:space="preserve"> networks</w:t>
      </w:r>
      <w:r w:rsidR="007C4AE2" w:rsidRPr="00E85371">
        <w:rPr>
          <w:rFonts w:ascii="Verdana" w:hAnsi="Verdana"/>
          <w:lang w:bidi="en-US"/>
        </w:rPr>
        <w:t xml:space="preserve">. </w:t>
      </w:r>
      <w:r>
        <w:rPr>
          <w:rFonts w:ascii="Verdana" w:hAnsi="Verdana"/>
          <w:lang w:bidi="en-US"/>
        </w:rPr>
        <w:t xml:space="preserve">Mobile </w:t>
      </w:r>
      <w:r w:rsidR="007C4AE2" w:rsidRPr="00E85371">
        <w:rPr>
          <w:rFonts w:ascii="Verdana" w:hAnsi="Verdana"/>
          <w:lang w:bidi="en-US"/>
        </w:rPr>
        <w:t xml:space="preserve">phone networks </w:t>
      </w:r>
      <w:r>
        <w:rPr>
          <w:rFonts w:ascii="Verdana" w:hAnsi="Verdana"/>
          <w:lang w:bidi="en-US"/>
        </w:rPr>
        <w:t>(</w:t>
      </w:r>
      <w:r w:rsidRPr="00E85371">
        <w:rPr>
          <w:rFonts w:ascii="Verdana" w:hAnsi="Verdana"/>
          <w:lang w:bidi="en-US"/>
        </w:rPr>
        <w:t>3G/4G/5G</w:t>
      </w:r>
      <w:r>
        <w:rPr>
          <w:rFonts w:ascii="Verdana" w:hAnsi="Verdana"/>
          <w:lang w:bidi="en-US"/>
        </w:rPr>
        <w:t>)</w:t>
      </w:r>
      <w:r w:rsidR="00887934">
        <w:rPr>
          <w:rFonts w:ascii="Verdana" w:hAnsi="Verdana"/>
          <w:lang w:bidi="en-US"/>
        </w:rPr>
        <w:t xml:space="preserve"> </w:t>
      </w:r>
      <w:r w:rsidR="00F22BA8" w:rsidRPr="00E85371">
        <w:rPr>
          <w:rFonts w:ascii="Verdana" w:hAnsi="Verdana"/>
          <w:lang w:bidi="en-US"/>
        </w:rPr>
        <w:t xml:space="preserve"> are</w:t>
      </w:r>
      <w:r w:rsidR="007C4AE2" w:rsidRPr="00E85371">
        <w:rPr>
          <w:rFonts w:ascii="Verdana" w:hAnsi="Verdana"/>
          <w:lang w:bidi="en-US"/>
        </w:rPr>
        <w:t xml:space="preserve"> the only exception.</w:t>
      </w:r>
    </w:p>
    <w:p w14:paraId="4D20C7FE" w14:textId="055D33CB" w:rsidR="007C4AE2" w:rsidRPr="00E85371" w:rsidRDefault="019F369E" w:rsidP="007C4AE2">
      <w:pPr>
        <w:numPr>
          <w:ilvl w:val="0"/>
          <w:numId w:val="27"/>
        </w:numPr>
        <w:rPr>
          <w:rFonts w:ascii="Verdana" w:hAnsi="Verdana"/>
          <w:lang w:bidi="en-US"/>
        </w:rPr>
      </w:pPr>
      <w:r w:rsidRPr="27BBD86F">
        <w:rPr>
          <w:rFonts w:ascii="Verdana" w:hAnsi="Verdana"/>
          <w:lang w:bidi="en-US"/>
        </w:rPr>
        <w:t>To</w:t>
      </w:r>
      <w:r w:rsidR="001876FC">
        <w:rPr>
          <w:rFonts w:ascii="Verdana" w:hAnsi="Verdana"/>
          <w:lang w:bidi="en-US"/>
        </w:rPr>
        <w:t xml:space="preserve"> avoid onerous compliance requirements, p</w:t>
      </w:r>
      <w:r w:rsidR="007C4AE2" w:rsidRPr="00E85371">
        <w:rPr>
          <w:rFonts w:ascii="Verdana" w:hAnsi="Verdana"/>
          <w:lang w:bidi="en-US"/>
        </w:rPr>
        <w:t>ayment card devices</w:t>
      </w:r>
      <w:r w:rsidR="001876FC">
        <w:rPr>
          <w:rFonts w:ascii="Verdana" w:hAnsi="Verdana"/>
          <w:lang w:bidi="en-US"/>
        </w:rPr>
        <w:t xml:space="preserve"> (i.e. payment terminals)</w:t>
      </w:r>
      <w:r w:rsidR="007C4AE2" w:rsidRPr="00E85371">
        <w:rPr>
          <w:rFonts w:ascii="Verdana" w:hAnsi="Verdana"/>
          <w:lang w:bidi="en-US"/>
        </w:rPr>
        <w:t xml:space="preserve"> </w:t>
      </w:r>
      <w:r w:rsidR="001743C2" w:rsidRPr="00E85371">
        <w:rPr>
          <w:rFonts w:ascii="Verdana" w:hAnsi="Verdana"/>
          <w:lang w:bidi="en-US"/>
        </w:rPr>
        <w:t>which</w:t>
      </w:r>
      <w:r w:rsidR="007C4AE2" w:rsidRPr="00E85371">
        <w:rPr>
          <w:rFonts w:ascii="Verdana" w:hAnsi="Verdana"/>
          <w:lang w:bidi="en-US"/>
        </w:rPr>
        <w:t xml:space="preserve"> do not have </w:t>
      </w:r>
      <w:r w:rsidR="001876FC">
        <w:rPr>
          <w:rFonts w:ascii="Verdana" w:hAnsi="Verdana"/>
          <w:lang w:bidi="en-US"/>
        </w:rPr>
        <w:t xml:space="preserve">an </w:t>
      </w:r>
      <w:r w:rsidR="007C4AE2" w:rsidRPr="00E85371">
        <w:rPr>
          <w:rFonts w:ascii="Verdana" w:hAnsi="Verdana"/>
          <w:lang w:bidi="en-US"/>
        </w:rPr>
        <w:t xml:space="preserve">approved </w:t>
      </w:r>
      <w:r w:rsidR="001876FC">
        <w:rPr>
          <w:rFonts w:ascii="Verdana" w:hAnsi="Verdana"/>
          <w:lang w:bidi="en-US"/>
        </w:rPr>
        <w:t>point-to-point encryption (</w:t>
      </w:r>
      <w:r w:rsidR="007C4AE2" w:rsidRPr="00E85371">
        <w:rPr>
          <w:rFonts w:ascii="Verdana" w:hAnsi="Verdana"/>
          <w:lang w:bidi="en-US"/>
        </w:rPr>
        <w:t>P2PE</w:t>
      </w:r>
      <w:r w:rsidR="001876FC">
        <w:rPr>
          <w:rFonts w:ascii="Verdana" w:hAnsi="Verdana"/>
          <w:lang w:bidi="en-US"/>
        </w:rPr>
        <w:t>) certification</w:t>
      </w:r>
      <w:r w:rsidR="007C4AE2" w:rsidRPr="00E85371">
        <w:rPr>
          <w:rFonts w:ascii="Verdana" w:hAnsi="Verdana"/>
          <w:lang w:bidi="en-US"/>
        </w:rPr>
        <w:t xml:space="preserve">, must use data connections that are not </w:t>
      </w:r>
      <w:r w:rsidR="001876FC">
        <w:rPr>
          <w:rFonts w:ascii="Verdana" w:hAnsi="Verdana"/>
          <w:lang w:bidi="en-US"/>
        </w:rPr>
        <w:t>connected to Imperial’s network</w:t>
      </w:r>
      <w:r w:rsidR="007C4AE2" w:rsidRPr="00E85371">
        <w:rPr>
          <w:rFonts w:ascii="Verdana" w:hAnsi="Verdana"/>
          <w:lang w:bidi="en-US"/>
        </w:rPr>
        <w:t>.</w:t>
      </w:r>
    </w:p>
    <w:p w14:paraId="7DA536E8" w14:textId="46CEE91F" w:rsidR="007C4AE2" w:rsidRPr="00E85371" w:rsidRDefault="007C4AE2" w:rsidP="006033B8">
      <w:p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The physical movement of </w:t>
      </w:r>
      <w:r w:rsidR="00AF49E5">
        <w:rPr>
          <w:rFonts w:ascii="Verdana" w:hAnsi="Verdana"/>
          <w:lang w:bidi="en-US"/>
        </w:rPr>
        <w:t>CHD</w:t>
      </w:r>
      <w:r w:rsidRPr="00E85371">
        <w:rPr>
          <w:rFonts w:ascii="Verdana" w:hAnsi="Verdana"/>
          <w:lang w:bidi="en-US"/>
        </w:rPr>
        <w:t xml:space="preserve"> within </w:t>
      </w:r>
      <w:r w:rsidR="00AF49E5">
        <w:rPr>
          <w:rFonts w:ascii="Verdana" w:hAnsi="Verdana"/>
          <w:lang w:bidi="en-US"/>
        </w:rPr>
        <w:t>Imperial</w:t>
      </w:r>
      <w:r w:rsidRPr="00E85371">
        <w:rPr>
          <w:rFonts w:ascii="Verdana" w:hAnsi="Verdana"/>
          <w:lang w:bidi="en-US"/>
        </w:rPr>
        <w:t xml:space="preserve"> may be required based on business need</w:t>
      </w:r>
      <w:r w:rsidR="004A187F" w:rsidRPr="00E85371">
        <w:rPr>
          <w:rFonts w:ascii="Verdana" w:hAnsi="Verdana"/>
          <w:lang w:bidi="en-US"/>
        </w:rPr>
        <w:t xml:space="preserve"> (</w:t>
      </w:r>
      <w:r w:rsidR="00AF49E5">
        <w:rPr>
          <w:rFonts w:ascii="Verdana" w:hAnsi="Verdana"/>
          <w:lang w:bidi="en-US"/>
        </w:rPr>
        <w:t xml:space="preserve">i.e. moving to location </w:t>
      </w:r>
      <w:r w:rsidR="004A187F" w:rsidRPr="00E85371">
        <w:rPr>
          <w:rFonts w:ascii="Verdana" w:hAnsi="Verdana"/>
          <w:lang w:bidi="en-US"/>
        </w:rPr>
        <w:t>for secure destruction)</w:t>
      </w:r>
      <w:r w:rsidRPr="00E85371">
        <w:rPr>
          <w:rFonts w:ascii="Verdana" w:hAnsi="Verdana"/>
          <w:lang w:bidi="en-US"/>
        </w:rPr>
        <w:t xml:space="preserve"> and suitable levels of protection will be needed as follows:</w:t>
      </w:r>
    </w:p>
    <w:p w14:paraId="4638681A" w14:textId="74611107" w:rsidR="007C4AE2" w:rsidRPr="00E85371" w:rsidRDefault="007C4AE2" w:rsidP="007C4AE2">
      <w:pPr>
        <w:numPr>
          <w:ilvl w:val="0"/>
          <w:numId w:val="32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Ensure a valid reason </w:t>
      </w:r>
      <w:r w:rsidR="00AF49E5">
        <w:rPr>
          <w:rFonts w:ascii="Verdana" w:hAnsi="Verdana"/>
          <w:lang w:bidi="en-US"/>
        </w:rPr>
        <w:t xml:space="preserve">exists </w:t>
      </w:r>
      <w:r w:rsidRPr="00E85371">
        <w:rPr>
          <w:rFonts w:ascii="Verdana" w:hAnsi="Verdana"/>
          <w:lang w:bidi="en-US"/>
        </w:rPr>
        <w:t xml:space="preserve">for the physical movement of </w:t>
      </w:r>
      <w:r w:rsidR="00AF49E5">
        <w:rPr>
          <w:rFonts w:ascii="Verdana" w:hAnsi="Verdana"/>
          <w:lang w:bidi="en-US"/>
        </w:rPr>
        <w:t>CHD</w:t>
      </w:r>
      <w:r w:rsidRPr="00E85371">
        <w:rPr>
          <w:rFonts w:ascii="Verdana" w:hAnsi="Verdana"/>
          <w:lang w:bidi="en-US"/>
        </w:rPr>
        <w:t xml:space="preserve"> and </w:t>
      </w:r>
      <w:r w:rsidR="00AF49E5">
        <w:rPr>
          <w:rFonts w:ascii="Verdana" w:hAnsi="Verdana"/>
          <w:lang w:bidi="en-US"/>
        </w:rPr>
        <w:t xml:space="preserve">that </w:t>
      </w:r>
      <w:r w:rsidRPr="00E85371">
        <w:rPr>
          <w:rFonts w:ascii="Verdana" w:hAnsi="Verdana"/>
          <w:lang w:bidi="en-US"/>
        </w:rPr>
        <w:t xml:space="preserve">approval has been obtained from the </w:t>
      </w:r>
      <w:r w:rsidR="005B6279">
        <w:rPr>
          <w:rFonts w:ascii="Verdana" w:hAnsi="Verdana"/>
          <w:lang w:bidi="en-US"/>
        </w:rPr>
        <w:t xml:space="preserve">Payment Security </w:t>
      </w:r>
      <w:r w:rsidR="00A607EB">
        <w:rPr>
          <w:rFonts w:ascii="Verdana" w:hAnsi="Verdana"/>
          <w:lang w:bidi="en-US"/>
        </w:rPr>
        <w:t xml:space="preserve">Committee </w:t>
      </w:r>
      <w:r w:rsidR="007010F7">
        <w:rPr>
          <w:rFonts w:ascii="Verdana" w:hAnsi="Verdana"/>
          <w:lang w:bidi="en-US"/>
        </w:rPr>
        <w:t>(pcidsscom@imperial.ac.uk)</w:t>
      </w:r>
      <w:r w:rsidR="005B6279">
        <w:rPr>
          <w:rFonts w:ascii="Verdana" w:hAnsi="Verdana"/>
          <w:lang w:bidi="en-US"/>
        </w:rPr>
        <w:t xml:space="preserve">. </w:t>
      </w:r>
    </w:p>
    <w:p w14:paraId="7CFE972A" w14:textId="71449EA2" w:rsidR="00E119B3" w:rsidRPr="00E85371" w:rsidRDefault="00AF49E5" w:rsidP="007C4AE2">
      <w:pPr>
        <w:numPr>
          <w:ilvl w:val="0"/>
          <w:numId w:val="32"/>
        </w:numPr>
        <w:rPr>
          <w:rFonts w:ascii="Verdana" w:hAnsi="Verdana"/>
          <w:lang w:bidi="en-US"/>
        </w:rPr>
      </w:pPr>
      <w:r>
        <w:rPr>
          <w:rFonts w:ascii="Verdana" w:hAnsi="Verdana"/>
          <w:lang w:bidi="en-US"/>
        </w:rPr>
        <w:t>I</w:t>
      </w:r>
      <w:r w:rsidR="005B6279">
        <w:rPr>
          <w:rFonts w:ascii="Verdana" w:hAnsi="Verdana"/>
          <w:lang w:bidi="en-US"/>
        </w:rPr>
        <w:t>f</w:t>
      </w:r>
      <w:r>
        <w:rPr>
          <w:rFonts w:ascii="Verdana" w:hAnsi="Verdana"/>
          <w:lang w:bidi="en-US"/>
        </w:rPr>
        <w:t xml:space="preserve"> the physical movement of CHD is</w:t>
      </w:r>
      <w:r w:rsidR="005B6279">
        <w:rPr>
          <w:rFonts w:ascii="Verdana" w:hAnsi="Verdana"/>
          <w:lang w:bidi="en-US"/>
        </w:rPr>
        <w:t xml:space="preserve"> required, </w:t>
      </w:r>
      <w:r>
        <w:rPr>
          <w:rFonts w:ascii="Verdana" w:hAnsi="Verdana"/>
          <w:lang w:bidi="en-US"/>
        </w:rPr>
        <w:t>only the following physical formats can be moved</w:t>
      </w:r>
      <w:r w:rsidR="00E119B3" w:rsidRPr="00E85371">
        <w:rPr>
          <w:rFonts w:ascii="Verdana" w:hAnsi="Verdana"/>
          <w:lang w:bidi="en-US"/>
        </w:rPr>
        <w:t>:</w:t>
      </w:r>
    </w:p>
    <w:p w14:paraId="4DFA31C6" w14:textId="3D6D6A88" w:rsidR="00E119B3" w:rsidRPr="00E85371" w:rsidRDefault="00E119B3" w:rsidP="00E119B3">
      <w:pPr>
        <w:numPr>
          <w:ilvl w:val="0"/>
          <w:numId w:val="33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Paper </w:t>
      </w:r>
      <w:r w:rsidR="009F00A1" w:rsidRPr="00E85371">
        <w:rPr>
          <w:rFonts w:ascii="Verdana" w:hAnsi="Verdana"/>
          <w:lang w:bidi="en-US"/>
        </w:rPr>
        <w:t>forms</w:t>
      </w:r>
      <w:r w:rsidR="009F00A1">
        <w:rPr>
          <w:rFonts w:ascii="Verdana" w:hAnsi="Verdana"/>
          <w:lang w:bidi="en-US"/>
        </w:rPr>
        <w:t>.</w:t>
      </w:r>
    </w:p>
    <w:p w14:paraId="12545B2A" w14:textId="1E397245" w:rsidR="00E119B3" w:rsidRPr="00E85371" w:rsidRDefault="00E119B3" w:rsidP="00E119B3">
      <w:pPr>
        <w:numPr>
          <w:ilvl w:val="0"/>
          <w:numId w:val="33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>Merchant receipts</w:t>
      </w:r>
      <w:r w:rsidR="00AF49E5">
        <w:rPr>
          <w:rFonts w:ascii="Verdana" w:hAnsi="Verdana"/>
          <w:lang w:bidi="en-US"/>
        </w:rPr>
        <w:t>.</w:t>
      </w:r>
    </w:p>
    <w:p w14:paraId="493A12C1" w14:textId="67108FDD" w:rsidR="00E119B3" w:rsidRPr="00E85371" w:rsidRDefault="007C4AE2" w:rsidP="007C4AE2">
      <w:pPr>
        <w:numPr>
          <w:ilvl w:val="0"/>
          <w:numId w:val="32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>C</w:t>
      </w:r>
      <w:r w:rsidR="00AF49E5">
        <w:rPr>
          <w:rFonts w:ascii="Verdana" w:hAnsi="Verdana"/>
          <w:lang w:bidi="en-US"/>
        </w:rPr>
        <w:t>HD</w:t>
      </w:r>
      <w:r w:rsidRPr="00E85371">
        <w:rPr>
          <w:rFonts w:ascii="Verdana" w:hAnsi="Verdana"/>
          <w:lang w:bidi="en-US"/>
        </w:rPr>
        <w:t xml:space="preserve"> </w:t>
      </w:r>
      <w:r w:rsidR="0068608C">
        <w:rPr>
          <w:rFonts w:ascii="Verdana" w:hAnsi="Verdana"/>
          <w:lang w:bidi="en-US"/>
        </w:rPr>
        <w:t>must</w:t>
      </w:r>
      <w:r w:rsidRPr="00E85371">
        <w:rPr>
          <w:rFonts w:ascii="Verdana" w:hAnsi="Verdana"/>
          <w:lang w:bidi="en-US"/>
        </w:rPr>
        <w:t xml:space="preserve"> </w:t>
      </w:r>
      <w:r w:rsidR="00E119B3" w:rsidRPr="006033B8">
        <w:rPr>
          <w:rFonts w:ascii="Verdana" w:hAnsi="Verdana"/>
          <w:b/>
          <w:lang w:bidi="en-US"/>
        </w:rPr>
        <w:t>NOT</w:t>
      </w:r>
      <w:r w:rsidR="00E119B3" w:rsidRPr="00E85371">
        <w:rPr>
          <w:rFonts w:ascii="Verdana" w:hAnsi="Verdana"/>
          <w:lang w:bidi="en-US"/>
        </w:rPr>
        <w:t xml:space="preserve"> </w:t>
      </w:r>
      <w:r w:rsidRPr="00E85371">
        <w:rPr>
          <w:rFonts w:ascii="Verdana" w:hAnsi="Verdana"/>
          <w:lang w:bidi="en-US"/>
        </w:rPr>
        <w:t xml:space="preserve">be digitally transcribed and stored on </w:t>
      </w:r>
      <w:r w:rsidR="007B4798">
        <w:rPr>
          <w:rFonts w:ascii="Verdana" w:hAnsi="Verdana"/>
          <w:lang w:bidi="en-US"/>
        </w:rPr>
        <w:t xml:space="preserve">a </w:t>
      </w:r>
      <w:r w:rsidRPr="00E85371">
        <w:rPr>
          <w:rFonts w:ascii="Verdana" w:hAnsi="Verdana"/>
          <w:lang w:bidi="en-US"/>
        </w:rPr>
        <w:t>memory stick, CD</w:t>
      </w:r>
      <w:r w:rsidR="00E119B3" w:rsidRPr="00E85371">
        <w:rPr>
          <w:rFonts w:ascii="Verdana" w:hAnsi="Verdana"/>
          <w:lang w:bidi="en-US"/>
        </w:rPr>
        <w:t>, removable hard drive</w:t>
      </w:r>
      <w:r w:rsidRPr="00E85371">
        <w:rPr>
          <w:rFonts w:ascii="Verdana" w:hAnsi="Verdana"/>
          <w:lang w:bidi="en-US"/>
        </w:rPr>
        <w:t xml:space="preserve"> or other type of </w:t>
      </w:r>
      <w:r w:rsidR="00E119B3" w:rsidRPr="00E85371">
        <w:rPr>
          <w:rFonts w:ascii="Verdana" w:hAnsi="Verdana"/>
          <w:lang w:bidi="en-US"/>
        </w:rPr>
        <w:t xml:space="preserve">digital storage </w:t>
      </w:r>
      <w:r w:rsidRPr="00E85371">
        <w:rPr>
          <w:rFonts w:ascii="Verdana" w:hAnsi="Verdana"/>
          <w:lang w:bidi="en-US"/>
        </w:rPr>
        <w:t>media for physical movement.</w:t>
      </w:r>
    </w:p>
    <w:p w14:paraId="53EE4E4E" w14:textId="1E2EAD69" w:rsidR="00DC2F81" w:rsidRPr="00E85371" w:rsidRDefault="00DC2F81" w:rsidP="007C4AE2">
      <w:pPr>
        <w:numPr>
          <w:ilvl w:val="0"/>
          <w:numId w:val="32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When moving </w:t>
      </w:r>
      <w:r w:rsidR="0068608C">
        <w:rPr>
          <w:rFonts w:ascii="Verdana" w:hAnsi="Verdana"/>
          <w:lang w:bidi="en-US"/>
        </w:rPr>
        <w:t>CHD</w:t>
      </w:r>
      <w:r w:rsidRPr="00E85371">
        <w:rPr>
          <w:rFonts w:ascii="Verdana" w:hAnsi="Verdana"/>
          <w:lang w:bidi="en-US"/>
        </w:rPr>
        <w:t>:</w:t>
      </w:r>
    </w:p>
    <w:p w14:paraId="783ED828" w14:textId="1D1D7606" w:rsidR="00DC2F81" w:rsidRPr="00E85371" w:rsidRDefault="00DC2F81" w:rsidP="00DC2F81">
      <w:pPr>
        <w:numPr>
          <w:ilvl w:val="1"/>
          <w:numId w:val="32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>Pla</w:t>
      </w:r>
      <w:r w:rsidR="005B6279">
        <w:rPr>
          <w:rFonts w:ascii="Verdana" w:hAnsi="Verdana"/>
          <w:lang w:bidi="en-US"/>
        </w:rPr>
        <w:t xml:space="preserve">ce </w:t>
      </w:r>
      <w:r w:rsidR="0068608C">
        <w:rPr>
          <w:rFonts w:ascii="Verdana" w:hAnsi="Verdana"/>
          <w:lang w:bidi="en-US"/>
        </w:rPr>
        <w:t>CHD</w:t>
      </w:r>
      <w:r w:rsidRPr="00E85371">
        <w:rPr>
          <w:rFonts w:ascii="Verdana" w:hAnsi="Verdana"/>
          <w:lang w:bidi="en-US"/>
        </w:rPr>
        <w:t xml:space="preserve"> in </w:t>
      </w:r>
      <w:r w:rsidR="0068608C">
        <w:rPr>
          <w:rFonts w:ascii="Verdana" w:hAnsi="Verdana"/>
          <w:lang w:bidi="en-US"/>
        </w:rPr>
        <w:t xml:space="preserve">an </w:t>
      </w:r>
      <w:r w:rsidRPr="00E85371">
        <w:rPr>
          <w:rFonts w:ascii="Verdana" w:hAnsi="Verdana"/>
          <w:lang w:bidi="en-US"/>
        </w:rPr>
        <w:t xml:space="preserve">opaque </w:t>
      </w:r>
      <w:r w:rsidR="0068608C">
        <w:rPr>
          <w:rFonts w:ascii="Verdana" w:hAnsi="Verdana"/>
          <w:lang w:bidi="en-US"/>
        </w:rPr>
        <w:t>container</w:t>
      </w:r>
      <w:r w:rsidR="0068608C" w:rsidRPr="00E85371">
        <w:rPr>
          <w:rFonts w:ascii="Verdana" w:hAnsi="Verdana"/>
          <w:lang w:bidi="en-US"/>
        </w:rPr>
        <w:t xml:space="preserve"> </w:t>
      </w:r>
      <w:r w:rsidRPr="00E85371">
        <w:rPr>
          <w:rFonts w:ascii="Verdana" w:hAnsi="Verdana"/>
          <w:lang w:bidi="en-US"/>
        </w:rPr>
        <w:t>(</w:t>
      </w:r>
      <w:r w:rsidR="0068608C">
        <w:rPr>
          <w:rFonts w:ascii="Verdana" w:hAnsi="Verdana"/>
          <w:lang w:bidi="en-US"/>
        </w:rPr>
        <w:t>i.e.</w:t>
      </w:r>
      <w:r w:rsidRPr="00E85371">
        <w:rPr>
          <w:rFonts w:ascii="Verdana" w:hAnsi="Verdana"/>
          <w:lang w:bidi="en-US"/>
        </w:rPr>
        <w:t xml:space="preserve"> an envelope)</w:t>
      </w:r>
      <w:r w:rsidR="0068608C">
        <w:rPr>
          <w:rFonts w:ascii="Verdana" w:hAnsi="Verdana"/>
          <w:lang w:bidi="en-US"/>
        </w:rPr>
        <w:t xml:space="preserve"> and</w:t>
      </w:r>
      <w:r w:rsidRPr="00E85371">
        <w:rPr>
          <w:rFonts w:ascii="Verdana" w:hAnsi="Verdana"/>
          <w:lang w:bidi="en-US"/>
        </w:rPr>
        <w:t xml:space="preserve"> ensure the outside is clearly marked as “private”</w:t>
      </w:r>
      <w:r w:rsidR="0068608C">
        <w:rPr>
          <w:rFonts w:ascii="Verdana" w:hAnsi="Verdana"/>
          <w:lang w:bidi="en-US"/>
        </w:rPr>
        <w:t>. S</w:t>
      </w:r>
      <w:r w:rsidRPr="00E85371">
        <w:rPr>
          <w:rFonts w:ascii="Verdana" w:hAnsi="Verdana"/>
          <w:lang w:bidi="en-US"/>
        </w:rPr>
        <w:t xml:space="preserve">eal the </w:t>
      </w:r>
      <w:r w:rsidR="0068608C">
        <w:rPr>
          <w:rFonts w:ascii="Verdana" w:hAnsi="Verdana"/>
          <w:lang w:bidi="en-US"/>
        </w:rPr>
        <w:t>container and p</w:t>
      </w:r>
      <w:r w:rsidRPr="00E85371">
        <w:rPr>
          <w:rFonts w:ascii="Verdana" w:hAnsi="Verdana"/>
          <w:lang w:bidi="en-US"/>
        </w:rPr>
        <w:t xml:space="preserve">lace </w:t>
      </w:r>
      <w:r w:rsidR="0068608C">
        <w:rPr>
          <w:rFonts w:ascii="Verdana" w:hAnsi="Verdana"/>
          <w:lang w:bidi="en-US"/>
        </w:rPr>
        <w:t xml:space="preserve">it </w:t>
      </w:r>
      <w:r w:rsidRPr="00E85371">
        <w:rPr>
          <w:rFonts w:ascii="Verdana" w:hAnsi="Verdana"/>
          <w:lang w:bidi="en-US"/>
        </w:rPr>
        <w:t xml:space="preserve">within a second </w:t>
      </w:r>
      <w:r w:rsidR="00341B56">
        <w:rPr>
          <w:rFonts w:ascii="Verdana" w:hAnsi="Verdana"/>
          <w:lang w:bidi="en-US"/>
        </w:rPr>
        <w:t>container that</w:t>
      </w:r>
      <w:r w:rsidR="0068608C">
        <w:rPr>
          <w:rFonts w:ascii="Verdana" w:hAnsi="Verdana"/>
          <w:lang w:bidi="en-US"/>
        </w:rPr>
        <w:t xml:space="preserve"> clearly identifies the</w:t>
      </w:r>
      <w:r w:rsidRPr="00E85371">
        <w:rPr>
          <w:rFonts w:ascii="Verdana" w:hAnsi="Verdana"/>
          <w:lang w:bidi="en-US"/>
        </w:rPr>
        <w:t xml:space="preserve"> intended recipient.</w:t>
      </w:r>
    </w:p>
    <w:p w14:paraId="1DF75DDC" w14:textId="095ACF38" w:rsidR="00DC2F81" w:rsidRPr="00E85371" w:rsidRDefault="00DC2F81" w:rsidP="00DC2F81">
      <w:pPr>
        <w:numPr>
          <w:ilvl w:val="1"/>
          <w:numId w:val="32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When moving the </w:t>
      </w:r>
      <w:r w:rsidR="0068608C">
        <w:rPr>
          <w:rFonts w:ascii="Verdana" w:hAnsi="Verdana"/>
          <w:lang w:bidi="en-US"/>
        </w:rPr>
        <w:t>data</w:t>
      </w:r>
      <w:r w:rsidR="007B4798">
        <w:rPr>
          <w:rFonts w:ascii="Verdana" w:hAnsi="Verdana"/>
          <w:lang w:bidi="en-US"/>
        </w:rPr>
        <w:t>,</w:t>
      </w:r>
      <w:r w:rsidRPr="00E85371">
        <w:rPr>
          <w:rFonts w:ascii="Verdana" w:hAnsi="Verdana"/>
          <w:lang w:bidi="en-US"/>
        </w:rPr>
        <w:t xml:space="preserve"> use a </w:t>
      </w:r>
      <w:r w:rsidR="0068608C">
        <w:rPr>
          <w:rFonts w:ascii="Verdana" w:hAnsi="Verdana"/>
          <w:lang w:bidi="en-US"/>
        </w:rPr>
        <w:t xml:space="preserve">trusted </w:t>
      </w:r>
      <w:r w:rsidRPr="00E85371">
        <w:rPr>
          <w:rFonts w:ascii="Verdana" w:hAnsi="Verdana"/>
          <w:lang w:bidi="en-US"/>
        </w:rPr>
        <w:t>staff member or courier.</w:t>
      </w:r>
    </w:p>
    <w:p w14:paraId="35D886FB" w14:textId="09CE0063" w:rsidR="00DC2F81" w:rsidRPr="00E85371" w:rsidRDefault="00DC2F81" w:rsidP="00DC2F81">
      <w:pPr>
        <w:numPr>
          <w:ilvl w:val="1"/>
          <w:numId w:val="32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>Log the details of the package</w:t>
      </w:r>
      <w:r w:rsidR="00512640">
        <w:rPr>
          <w:rFonts w:ascii="Verdana" w:hAnsi="Verdana"/>
          <w:lang w:bidi="en-US"/>
        </w:rPr>
        <w:t xml:space="preserve"> including</w:t>
      </w:r>
      <w:r w:rsidRPr="00E85371">
        <w:rPr>
          <w:rFonts w:ascii="Verdana" w:hAnsi="Verdana"/>
          <w:lang w:bidi="en-US"/>
        </w:rPr>
        <w:t xml:space="preserve"> when it was d</w:t>
      </w:r>
      <w:r w:rsidR="00512640">
        <w:rPr>
          <w:rFonts w:ascii="Verdana" w:hAnsi="Verdana"/>
          <w:lang w:bidi="en-US"/>
        </w:rPr>
        <w:t>i</w:t>
      </w:r>
      <w:r w:rsidRPr="00E85371">
        <w:rPr>
          <w:rFonts w:ascii="Verdana" w:hAnsi="Verdana"/>
          <w:lang w:bidi="en-US"/>
        </w:rPr>
        <w:t>spatched, the content and who couriered it.</w:t>
      </w:r>
      <w:r w:rsidR="00C427C1" w:rsidRPr="00E85371">
        <w:rPr>
          <w:rFonts w:ascii="Verdana" w:hAnsi="Verdana"/>
          <w:lang w:bidi="en-US"/>
        </w:rPr>
        <w:t xml:space="preserve"> Notify the intended recipient that the package </w:t>
      </w:r>
      <w:r w:rsidR="00512640">
        <w:rPr>
          <w:rFonts w:ascii="Verdana" w:hAnsi="Verdana"/>
          <w:lang w:bidi="en-US"/>
        </w:rPr>
        <w:t xml:space="preserve">is enroute </w:t>
      </w:r>
      <w:r w:rsidR="00C427C1" w:rsidRPr="00E85371">
        <w:rPr>
          <w:rFonts w:ascii="Verdana" w:hAnsi="Verdana"/>
          <w:lang w:bidi="en-US"/>
        </w:rPr>
        <w:t xml:space="preserve">and when it </w:t>
      </w:r>
      <w:r w:rsidR="00512640">
        <w:rPr>
          <w:rFonts w:ascii="Verdana" w:hAnsi="Verdana"/>
          <w:lang w:bidi="en-US"/>
        </w:rPr>
        <w:t>may be</w:t>
      </w:r>
      <w:r w:rsidR="00C427C1" w:rsidRPr="00E85371">
        <w:rPr>
          <w:rFonts w:ascii="Verdana" w:hAnsi="Verdana"/>
          <w:lang w:bidi="en-US"/>
        </w:rPr>
        <w:t xml:space="preserve"> expected.</w:t>
      </w:r>
    </w:p>
    <w:p w14:paraId="4EBF1EA7" w14:textId="299CB66E" w:rsidR="00C427C1" w:rsidRPr="00E85371" w:rsidRDefault="00C427C1" w:rsidP="00C427C1">
      <w:pPr>
        <w:numPr>
          <w:ilvl w:val="1"/>
          <w:numId w:val="32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On receipt of the </w:t>
      </w:r>
      <w:r w:rsidR="00512640">
        <w:rPr>
          <w:rFonts w:ascii="Verdana" w:hAnsi="Verdana"/>
          <w:lang w:bidi="en-US"/>
        </w:rPr>
        <w:t>data, the recipient must</w:t>
      </w:r>
      <w:r w:rsidRPr="00E85371">
        <w:rPr>
          <w:rFonts w:ascii="Verdana" w:hAnsi="Verdana"/>
          <w:lang w:bidi="en-US"/>
        </w:rPr>
        <w:t xml:space="preserve"> inspect the package for potential tampering. If the seal looks tampered with, the sender</w:t>
      </w:r>
      <w:r w:rsidR="00512640">
        <w:rPr>
          <w:rFonts w:ascii="Verdana" w:hAnsi="Verdana"/>
          <w:lang w:bidi="en-US"/>
        </w:rPr>
        <w:t xml:space="preserve"> must be </w:t>
      </w:r>
      <w:r w:rsidR="003D2E5C">
        <w:rPr>
          <w:rFonts w:ascii="Verdana" w:hAnsi="Verdana"/>
          <w:lang w:bidi="en-US"/>
        </w:rPr>
        <w:t>contacted,</w:t>
      </w:r>
      <w:r w:rsidRPr="00E85371">
        <w:rPr>
          <w:rFonts w:ascii="Verdana" w:hAnsi="Verdana"/>
          <w:lang w:bidi="en-US"/>
        </w:rPr>
        <w:t xml:space="preserve"> and</w:t>
      </w:r>
      <w:r w:rsidR="00512640">
        <w:rPr>
          <w:rFonts w:ascii="Verdana" w:hAnsi="Verdana"/>
          <w:lang w:bidi="en-US"/>
        </w:rPr>
        <w:t xml:space="preserve"> a</w:t>
      </w:r>
      <w:r w:rsidRPr="00E85371">
        <w:rPr>
          <w:rFonts w:ascii="Verdana" w:hAnsi="Verdana"/>
          <w:lang w:bidi="en-US"/>
        </w:rPr>
        <w:t xml:space="preserve"> suspected incident </w:t>
      </w:r>
      <w:r w:rsidR="00512640">
        <w:rPr>
          <w:rFonts w:ascii="Verdana" w:hAnsi="Verdana"/>
          <w:lang w:bidi="en-US"/>
        </w:rPr>
        <w:t xml:space="preserve">raised </w:t>
      </w:r>
      <w:r w:rsidRPr="00E85371">
        <w:rPr>
          <w:rFonts w:ascii="Verdana" w:hAnsi="Verdana"/>
          <w:lang w:bidi="en-US"/>
        </w:rPr>
        <w:t>for investigation.</w:t>
      </w:r>
    </w:p>
    <w:p w14:paraId="1507D3D9" w14:textId="43366EB8" w:rsidR="00C427C1" w:rsidRPr="00E85371" w:rsidRDefault="00C427C1" w:rsidP="00C427C1">
      <w:pPr>
        <w:numPr>
          <w:ilvl w:val="1"/>
          <w:numId w:val="32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lastRenderedPageBreak/>
        <w:t xml:space="preserve">Log receipt of the package, </w:t>
      </w:r>
      <w:r w:rsidR="00E07D63">
        <w:rPr>
          <w:rFonts w:ascii="Verdana" w:hAnsi="Verdana"/>
          <w:lang w:bidi="en-US"/>
        </w:rPr>
        <w:t xml:space="preserve">including </w:t>
      </w:r>
      <w:r w:rsidRPr="00E85371">
        <w:rPr>
          <w:rFonts w:ascii="Verdana" w:hAnsi="Verdana"/>
          <w:lang w:bidi="en-US"/>
        </w:rPr>
        <w:t>when it arrived</w:t>
      </w:r>
      <w:r w:rsidR="00E07D63">
        <w:rPr>
          <w:rFonts w:ascii="Verdana" w:hAnsi="Verdana"/>
          <w:lang w:bidi="en-US"/>
        </w:rPr>
        <w:t xml:space="preserve"> and</w:t>
      </w:r>
      <w:r w:rsidRPr="00E85371">
        <w:rPr>
          <w:rFonts w:ascii="Verdana" w:hAnsi="Verdana"/>
          <w:lang w:bidi="en-US"/>
        </w:rPr>
        <w:t xml:space="preserve"> who delivered it. Confirm to the sender that the package has been received.</w:t>
      </w:r>
    </w:p>
    <w:p w14:paraId="6856E3E0" w14:textId="7C0F5753" w:rsidR="00083B55" w:rsidRPr="00E85371" w:rsidRDefault="00083B55" w:rsidP="00083B55">
      <w:pPr>
        <w:numPr>
          <w:ilvl w:val="1"/>
          <w:numId w:val="32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>Keep the package</w:t>
      </w:r>
      <w:r w:rsidR="00C427C1" w:rsidRPr="00E85371">
        <w:rPr>
          <w:rFonts w:ascii="Verdana" w:hAnsi="Verdana"/>
          <w:lang w:bidi="en-US"/>
        </w:rPr>
        <w:t xml:space="preserve"> sealed until the point the </w:t>
      </w:r>
      <w:r w:rsidR="00E07D63">
        <w:rPr>
          <w:rFonts w:ascii="Verdana" w:hAnsi="Verdana"/>
          <w:lang w:bidi="en-US"/>
        </w:rPr>
        <w:t>CHD</w:t>
      </w:r>
      <w:r w:rsidRPr="00E85371">
        <w:rPr>
          <w:rFonts w:ascii="Verdana" w:hAnsi="Verdana"/>
          <w:lang w:bidi="en-US"/>
        </w:rPr>
        <w:t xml:space="preserve"> is ready</w:t>
      </w:r>
      <w:r w:rsidR="00C427C1" w:rsidRPr="00E85371">
        <w:rPr>
          <w:rFonts w:ascii="Verdana" w:hAnsi="Verdana"/>
          <w:lang w:bidi="en-US"/>
        </w:rPr>
        <w:t xml:space="preserve"> to be processed</w:t>
      </w:r>
      <w:r w:rsidR="00E07D63">
        <w:rPr>
          <w:rFonts w:ascii="Verdana" w:hAnsi="Verdana"/>
          <w:lang w:bidi="en-US"/>
        </w:rPr>
        <w:t xml:space="preserve">, </w:t>
      </w:r>
      <w:r w:rsidR="00C427C1" w:rsidRPr="00E85371">
        <w:rPr>
          <w:rFonts w:ascii="Verdana" w:hAnsi="Verdana"/>
          <w:lang w:bidi="en-US"/>
        </w:rPr>
        <w:t>store</w:t>
      </w:r>
      <w:r w:rsidR="00E07D63">
        <w:rPr>
          <w:rFonts w:ascii="Verdana" w:hAnsi="Verdana"/>
          <w:lang w:bidi="en-US"/>
        </w:rPr>
        <w:t>d</w:t>
      </w:r>
      <w:r w:rsidR="00C427C1" w:rsidRPr="00E85371">
        <w:rPr>
          <w:rFonts w:ascii="Verdana" w:hAnsi="Verdana"/>
          <w:lang w:bidi="en-US"/>
        </w:rPr>
        <w:t xml:space="preserve"> </w:t>
      </w:r>
      <w:r w:rsidR="00B840BF" w:rsidRPr="00E85371">
        <w:rPr>
          <w:rFonts w:ascii="Verdana" w:hAnsi="Verdana"/>
          <w:lang w:bidi="en-US"/>
        </w:rPr>
        <w:t>securely,</w:t>
      </w:r>
      <w:r w:rsidR="00E07D63">
        <w:rPr>
          <w:rFonts w:ascii="Verdana" w:hAnsi="Verdana"/>
          <w:lang w:bidi="en-US"/>
        </w:rPr>
        <w:t xml:space="preserve"> or destroyed</w:t>
      </w:r>
      <w:r w:rsidR="00C427C1" w:rsidRPr="00E85371">
        <w:rPr>
          <w:rFonts w:ascii="Verdana" w:hAnsi="Verdana"/>
          <w:lang w:bidi="en-US"/>
        </w:rPr>
        <w:t>.</w:t>
      </w:r>
      <w:r w:rsidR="00BC683D">
        <w:rPr>
          <w:rFonts w:ascii="Verdana" w:hAnsi="Verdana"/>
          <w:lang w:bidi="en-US"/>
        </w:rPr>
        <w:br/>
      </w:r>
    </w:p>
    <w:p w14:paraId="6871037B" w14:textId="06916DA9" w:rsidR="00083B55" w:rsidRPr="00E85371" w:rsidRDefault="00B3538C" w:rsidP="00B70B69">
      <w:pPr>
        <w:pStyle w:val="Heading2"/>
        <w:rPr>
          <w:rFonts w:ascii="Verdana" w:hAnsi="Verdana"/>
          <w:lang w:bidi="en-US"/>
        </w:rPr>
      </w:pPr>
      <w:bookmarkStart w:id="9" w:name="_Toc71706004"/>
      <w:r w:rsidRPr="00E85371">
        <w:rPr>
          <w:rFonts w:ascii="Verdana" w:hAnsi="Verdana"/>
          <w:lang w:bidi="en-US"/>
        </w:rPr>
        <w:t xml:space="preserve">Unsolicited </w:t>
      </w:r>
      <w:r w:rsidR="006F1D6D">
        <w:rPr>
          <w:rFonts w:ascii="Verdana" w:hAnsi="Verdana"/>
          <w:lang w:bidi="en-US"/>
        </w:rPr>
        <w:t>CHD</w:t>
      </w:r>
      <w:bookmarkEnd w:id="9"/>
    </w:p>
    <w:p w14:paraId="529F703B" w14:textId="6D345B8C" w:rsidR="00083B55" w:rsidRPr="00E85371" w:rsidRDefault="001743C2" w:rsidP="00083B55">
      <w:pPr>
        <w:rPr>
          <w:rFonts w:ascii="Verdana" w:hAnsi="Verdana"/>
          <w:lang w:bidi="en-US"/>
        </w:rPr>
      </w:pPr>
      <w:r>
        <w:rPr>
          <w:rFonts w:ascii="Verdana" w:hAnsi="Verdana"/>
          <w:lang w:bidi="en-US"/>
        </w:rPr>
        <w:br/>
        <w:t xml:space="preserve">When </w:t>
      </w:r>
      <w:r w:rsidR="006F1D6D">
        <w:rPr>
          <w:rFonts w:ascii="Verdana" w:hAnsi="Verdana"/>
          <w:lang w:bidi="en-US"/>
        </w:rPr>
        <w:t>CHD</w:t>
      </w:r>
      <w:r>
        <w:rPr>
          <w:rFonts w:ascii="Verdana" w:hAnsi="Verdana"/>
          <w:lang w:bidi="en-US"/>
        </w:rPr>
        <w:t xml:space="preserve"> </w:t>
      </w:r>
      <w:r w:rsidR="00083B55" w:rsidRPr="00E85371">
        <w:rPr>
          <w:rFonts w:ascii="Verdana" w:hAnsi="Verdana"/>
          <w:lang w:bidi="en-US"/>
        </w:rPr>
        <w:t>has arrived from an unsolicited source or method for a payment</w:t>
      </w:r>
      <w:r w:rsidR="006F1D6D">
        <w:rPr>
          <w:rFonts w:ascii="Verdana" w:hAnsi="Verdana"/>
          <w:lang w:bidi="en-US"/>
        </w:rPr>
        <w:t>,</w:t>
      </w:r>
      <w:r w:rsidR="00083B55" w:rsidRPr="00E85371">
        <w:rPr>
          <w:rFonts w:ascii="Verdana" w:hAnsi="Verdana"/>
          <w:lang w:bidi="en-US"/>
        </w:rPr>
        <w:t xml:space="preserve"> it indicates </w:t>
      </w:r>
      <w:r w:rsidR="006F1D6D">
        <w:rPr>
          <w:rFonts w:ascii="Verdana" w:hAnsi="Verdana"/>
          <w:lang w:bidi="en-US"/>
        </w:rPr>
        <w:t>an underlying</w:t>
      </w:r>
      <w:r w:rsidR="00083B55" w:rsidRPr="00E85371">
        <w:rPr>
          <w:rFonts w:ascii="Verdana" w:hAnsi="Verdana"/>
          <w:lang w:bidi="en-US"/>
        </w:rPr>
        <w:t xml:space="preserve"> issue that needs to be </w:t>
      </w:r>
      <w:r w:rsidR="006F1D6D">
        <w:rPr>
          <w:rFonts w:ascii="Verdana" w:hAnsi="Verdana"/>
          <w:lang w:bidi="en-US"/>
        </w:rPr>
        <w:t>resolved,</w:t>
      </w:r>
      <w:r w:rsidR="00083B55" w:rsidRPr="00E85371">
        <w:rPr>
          <w:rFonts w:ascii="Verdana" w:hAnsi="Verdana"/>
          <w:lang w:bidi="en-US"/>
        </w:rPr>
        <w:t xml:space="preserve"> beyond just dealing with the </w:t>
      </w:r>
      <w:r w:rsidR="006F1D6D">
        <w:rPr>
          <w:rFonts w:ascii="Verdana" w:hAnsi="Verdana"/>
          <w:lang w:bidi="en-US"/>
        </w:rPr>
        <w:t>CHD</w:t>
      </w:r>
      <w:r w:rsidR="00083B55" w:rsidRPr="00E85371">
        <w:rPr>
          <w:rFonts w:ascii="Verdana" w:hAnsi="Verdana"/>
          <w:lang w:bidi="en-US"/>
        </w:rPr>
        <w:t>.</w:t>
      </w:r>
    </w:p>
    <w:p w14:paraId="49A16C83" w14:textId="5329A2BB" w:rsidR="00083B55" w:rsidRPr="00E85371" w:rsidRDefault="00083B55" w:rsidP="00083B55">
      <w:p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These are suggested procedures for managing unsolicited </w:t>
      </w:r>
      <w:r w:rsidR="006F1D6D">
        <w:rPr>
          <w:rFonts w:ascii="Verdana" w:hAnsi="Verdana"/>
          <w:lang w:bidi="en-US"/>
        </w:rPr>
        <w:t>CHD</w:t>
      </w:r>
      <w:r w:rsidRPr="00E85371">
        <w:rPr>
          <w:rFonts w:ascii="Verdana" w:hAnsi="Verdana"/>
          <w:lang w:bidi="en-US"/>
        </w:rPr>
        <w:t>.</w:t>
      </w:r>
    </w:p>
    <w:p w14:paraId="50CCB8B4" w14:textId="595C070F" w:rsidR="00083B55" w:rsidRPr="00E85371" w:rsidRDefault="00083B55" w:rsidP="00E44B30">
      <w:p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On receipt of </w:t>
      </w:r>
      <w:r w:rsidR="006F1D6D">
        <w:rPr>
          <w:rFonts w:ascii="Verdana" w:hAnsi="Verdana"/>
          <w:lang w:bidi="en-US"/>
        </w:rPr>
        <w:t>CHD</w:t>
      </w:r>
      <w:r w:rsidRPr="00E85371">
        <w:rPr>
          <w:rFonts w:ascii="Verdana" w:hAnsi="Verdana"/>
          <w:lang w:bidi="en-US"/>
        </w:rPr>
        <w:t xml:space="preserve"> from a source or by a method that is not one of </w:t>
      </w:r>
      <w:r w:rsidR="006F1D6D">
        <w:rPr>
          <w:rFonts w:ascii="Verdana" w:hAnsi="Verdana"/>
          <w:lang w:bidi="en-US"/>
        </w:rPr>
        <w:t>Imperial’s</w:t>
      </w:r>
      <w:r w:rsidRPr="00E85371">
        <w:rPr>
          <w:rFonts w:ascii="Verdana" w:hAnsi="Verdana"/>
          <w:lang w:bidi="en-US"/>
        </w:rPr>
        <w:t xml:space="preserve"> approve</w:t>
      </w:r>
      <w:r w:rsidR="007B4798">
        <w:rPr>
          <w:rFonts w:ascii="Verdana" w:hAnsi="Verdana"/>
          <w:lang w:bidi="en-US"/>
        </w:rPr>
        <w:t>d</w:t>
      </w:r>
      <w:r w:rsidRPr="00E85371">
        <w:rPr>
          <w:rFonts w:ascii="Verdana" w:hAnsi="Verdana"/>
          <w:lang w:bidi="en-US"/>
        </w:rPr>
        <w:t xml:space="preserve"> methods</w:t>
      </w:r>
      <w:r w:rsidR="006F1D6D">
        <w:rPr>
          <w:rFonts w:ascii="Verdana" w:hAnsi="Verdana"/>
          <w:lang w:bidi="en-US"/>
        </w:rPr>
        <w:t xml:space="preserve"> or payment channels</w:t>
      </w:r>
      <w:r w:rsidRPr="00E85371">
        <w:rPr>
          <w:rFonts w:ascii="Verdana" w:hAnsi="Verdana"/>
          <w:lang w:bidi="en-US"/>
        </w:rPr>
        <w:t>:</w:t>
      </w:r>
    </w:p>
    <w:p w14:paraId="58D6A66F" w14:textId="39620803" w:rsidR="00083B55" w:rsidRPr="00E85371" w:rsidRDefault="00083B55" w:rsidP="00083B55">
      <w:pPr>
        <w:numPr>
          <w:ilvl w:val="0"/>
          <w:numId w:val="35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Identify </w:t>
      </w:r>
      <w:r w:rsidR="00E4504A">
        <w:rPr>
          <w:rFonts w:ascii="Verdana" w:hAnsi="Verdana"/>
          <w:lang w:bidi="en-US"/>
        </w:rPr>
        <w:t xml:space="preserve">the origin of the CHD including, </w:t>
      </w:r>
      <w:r w:rsidRPr="00E85371">
        <w:rPr>
          <w:rFonts w:ascii="Verdana" w:hAnsi="Verdana"/>
          <w:lang w:bidi="en-US"/>
        </w:rPr>
        <w:t>who the original sender was</w:t>
      </w:r>
      <w:r w:rsidR="00E4504A">
        <w:rPr>
          <w:rFonts w:ascii="Verdana" w:hAnsi="Verdana"/>
          <w:lang w:bidi="en-US"/>
        </w:rPr>
        <w:t xml:space="preserve">, </w:t>
      </w:r>
      <w:r w:rsidRPr="00E85371">
        <w:rPr>
          <w:rFonts w:ascii="Verdana" w:hAnsi="Verdana"/>
          <w:lang w:bidi="en-US"/>
        </w:rPr>
        <w:t>the communication method</w:t>
      </w:r>
      <w:r w:rsidR="00E4504A">
        <w:rPr>
          <w:rFonts w:ascii="Verdana" w:hAnsi="Verdana"/>
          <w:lang w:bidi="en-US"/>
        </w:rPr>
        <w:t xml:space="preserve"> used and the time and</w:t>
      </w:r>
      <w:r w:rsidRPr="00E85371">
        <w:rPr>
          <w:rFonts w:ascii="Verdana" w:hAnsi="Verdana"/>
          <w:lang w:bidi="en-US"/>
        </w:rPr>
        <w:t xml:space="preserve"> date of receipt.</w:t>
      </w:r>
    </w:p>
    <w:p w14:paraId="3DBBD062" w14:textId="70C953A8" w:rsidR="00083B55" w:rsidRDefault="00083B55" w:rsidP="00083B55">
      <w:pPr>
        <w:numPr>
          <w:ilvl w:val="0"/>
          <w:numId w:val="35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Contact the sender to </w:t>
      </w:r>
      <w:r w:rsidR="00E4504A">
        <w:rPr>
          <w:rFonts w:ascii="Verdana" w:hAnsi="Verdana"/>
          <w:lang w:bidi="en-US"/>
        </w:rPr>
        <w:t xml:space="preserve">inform them of Imperial’s </w:t>
      </w:r>
      <w:r w:rsidRPr="00E85371">
        <w:rPr>
          <w:rFonts w:ascii="Verdana" w:hAnsi="Verdana"/>
          <w:lang w:bidi="en-US"/>
        </w:rPr>
        <w:t xml:space="preserve">accepted methods </w:t>
      </w:r>
      <w:r w:rsidR="00E4504A">
        <w:rPr>
          <w:rFonts w:ascii="Verdana" w:hAnsi="Verdana"/>
          <w:lang w:bidi="en-US"/>
        </w:rPr>
        <w:t>for</w:t>
      </w:r>
      <w:r w:rsidRPr="00E85371">
        <w:rPr>
          <w:rFonts w:ascii="Verdana" w:hAnsi="Verdana"/>
          <w:lang w:bidi="en-US"/>
        </w:rPr>
        <w:t xml:space="preserve"> handling </w:t>
      </w:r>
      <w:r w:rsidR="00E4504A">
        <w:rPr>
          <w:rFonts w:ascii="Verdana" w:hAnsi="Verdana"/>
          <w:lang w:bidi="en-US"/>
        </w:rPr>
        <w:t>CHD (accepting payments or processing refunds)</w:t>
      </w:r>
      <w:r w:rsidRPr="00E85371">
        <w:rPr>
          <w:rFonts w:ascii="Verdana" w:hAnsi="Verdana"/>
          <w:lang w:bidi="en-US"/>
        </w:rPr>
        <w:t xml:space="preserve"> and</w:t>
      </w:r>
      <w:r w:rsidR="00E4504A">
        <w:rPr>
          <w:rFonts w:ascii="Verdana" w:hAnsi="Verdana"/>
          <w:lang w:bidi="en-US"/>
        </w:rPr>
        <w:t xml:space="preserve"> try </w:t>
      </w:r>
      <w:r w:rsidR="00E475BD">
        <w:rPr>
          <w:rFonts w:ascii="Verdana" w:hAnsi="Verdana"/>
          <w:lang w:bidi="en-US"/>
        </w:rPr>
        <w:t xml:space="preserve">to </w:t>
      </w:r>
      <w:r w:rsidR="00E4504A">
        <w:rPr>
          <w:rFonts w:ascii="Verdana" w:hAnsi="Verdana"/>
          <w:lang w:bidi="en-US"/>
        </w:rPr>
        <w:t>ascertain</w:t>
      </w:r>
      <w:r w:rsidRPr="00E85371">
        <w:rPr>
          <w:rFonts w:ascii="Verdana" w:hAnsi="Verdana"/>
          <w:lang w:bidi="en-US"/>
        </w:rPr>
        <w:t xml:space="preserve"> why the sender needed to send their </w:t>
      </w:r>
      <w:r w:rsidR="00E4504A">
        <w:rPr>
          <w:rFonts w:ascii="Verdana" w:hAnsi="Verdana"/>
          <w:lang w:bidi="en-US"/>
        </w:rPr>
        <w:t>CHD</w:t>
      </w:r>
      <w:r w:rsidRPr="00E85371">
        <w:rPr>
          <w:rFonts w:ascii="Verdana" w:hAnsi="Verdana"/>
          <w:lang w:bidi="en-US"/>
        </w:rPr>
        <w:t xml:space="preserve"> via </w:t>
      </w:r>
      <w:r w:rsidR="00E4504A">
        <w:rPr>
          <w:rFonts w:ascii="Verdana" w:hAnsi="Verdana"/>
          <w:lang w:bidi="en-US"/>
        </w:rPr>
        <w:t xml:space="preserve">the unauthorised method or channel. </w:t>
      </w:r>
      <w:r w:rsidRPr="00E85371">
        <w:rPr>
          <w:rFonts w:ascii="Verdana" w:hAnsi="Verdana"/>
          <w:lang w:bidi="en-US"/>
        </w:rPr>
        <w:t>All communication</w:t>
      </w:r>
      <w:r w:rsidR="00E4504A">
        <w:rPr>
          <w:rFonts w:ascii="Verdana" w:hAnsi="Verdana"/>
          <w:lang w:bidi="en-US"/>
        </w:rPr>
        <w:t>s</w:t>
      </w:r>
      <w:r w:rsidRPr="00E85371">
        <w:rPr>
          <w:rFonts w:ascii="Verdana" w:hAnsi="Verdana"/>
          <w:lang w:bidi="en-US"/>
        </w:rPr>
        <w:t xml:space="preserve"> should be documented.</w:t>
      </w:r>
    </w:p>
    <w:p w14:paraId="69361432" w14:textId="74BD50E5" w:rsidR="00CB6F03" w:rsidRPr="00E85371" w:rsidRDefault="00CB6F03" w:rsidP="00083B55">
      <w:pPr>
        <w:numPr>
          <w:ilvl w:val="0"/>
          <w:numId w:val="35"/>
        </w:numPr>
        <w:rPr>
          <w:rFonts w:ascii="Verdana" w:hAnsi="Verdana"/>
          <w:lang w:bidi="en-US"/>
        </w:rPr>
      </w:pPr>
      <w:r>
        <w:rPr>
          <w:rFonts w:ascii="Verdana" w:hAnsi="Verdana"/>
          <w:lang w:bidi="en-US"/>
        </w:rPr>
        <w:t>Requ</w:t>
      </w:r>
      <w:r w:rsidR="00E4504A">
        <w:rPr>
          <w:rFonts w:ascii="Verdana" w:hAnsi="Verdana"/>
          <w:lang w:bidi="en-US"/>
        </w:rPr>
        <w:t>ire</w:t>
      </w:r>
      <w:r>
        <w:rPr>
          <w:rFonts w:ascii="Verdana" w:hAnsi="Verdana"/>
          <w:lang w:bidi="en-US"/>
        </w:rPr>
        <w:t xml:space="preserve"> the sender to make payment </w:t>
      </w:r>
      <w:r w:rsidR="00E4504A">
        <w:rPr>
          <w:rFonts w:ascii="Verdana" w:hAnsi="Verdana"/>
          <w:lang w:bidi="en-US"/>
        </w:rPr>
        <w:t xml:space="preserve">or provide the necessary details </w:t>
      </w:r>
      <w:r>
        <w:rPr>
          <w:rFonts w:ascii="Verdana" w:hAnsi="Verdana"/>
          <w:lang w:bidi="en-US"/>
        </w:rPr>
        <w:t>via one</w:t>
      </w:r>
      <w:r w:rsidR="001743C2">
        <w:rPr>
          <w:rFonts w:ascii="Verdana" w:hAnsi="Verdana"/>
          <w:lang w:bidi="en-US"/>
        </w:rPr>
        <w:t xml:space="preserve"> </w:t>
      </w:r>
      <w:r w:rsidR="007B4798">
        <w:rPr>
          <w:rFonts w:ascii="Verdana" w:hAnsi="Verdana"/>
          <w:lang w:bidi="en-US"/>
        </w:rPr>
        <w:t xml:space="preserve">of </w:t>
      </w:r>
      <w:r w:rsidR="005B6279">
        <w:rPr>
          <w:rFonts w:ascii="Verdana" w:hAnsi="Verdana"/>
          <w:lang w:bidi="en-US"/>
        </w:rPr>
        <w:t xml:space="preserve">Imperial’s </w:t>
      </w:r>
      <w:r w:rsidR="001743C2">
        <w:rPr>
          <w:rFonts w:ascii="Verdana" w:hAnsi="Verdana"/>
          <w:lang w:bidi="en-US"/>
        </w:rPr>
        <w:t>approved secure payment metho</w:t>
      </w:r>
      <w:r>
        <w:rPr>
          <w:rFonts w:ascii="Verdana" w:hAnsi="Verdana"/>
          <w:lang w:bidi="en-US"/>
        </w:rPr>
        <w:t>ds</w:t>
      </w:r>
      <w:r w:rsidR="00E4504A">
        <w:rPr>
          <w:rFonts w:ascii="Verdana" w:hAnsi="Verdana"/>
          <w:lang w:bidi="en-US"/>
        </w:rPr>
        <w:t xml:space="preserve"> or communication channels</w:t>
      </w:r>
      <w:r>
        <w:rPr>
          <w:rFonts w:ascii="Verdana" w:hAnsi="Verdana"/>
          <w:lang w:bidi="en-US"/>
        </w:rPr>
        <w:t>.</w:t>
      </w:r>
    </w:p>
    <w:p w14:paraId="5AB19EC6" w14:textId="3335183D" w:rsidR="0003234C" w:rsidRPr="00E85371" w:rsidRDefault="0003234C" w:rsidP="007010F7">
      <w:pPr>
        <w:numPr>
          <w:ilvl w:val="0"/>
          <w:numId w:val="35"/>
        </w:numPr>
        <w:rPr>
          <w:rFonts w:ascii="Verdana" w:hAnsi="Verdana"/>
          <w:lang w:bidi="en-US"/>
        </w:rPr>
      </w:pPr>
      <w:r w:rsidRPr="00E85371">
        <w:rPr>
          <w:rFonts w:ascii="Verdana" w:hAnsi="Verdana"/>
          <w:lang w:bidi="en-US"/>
        </w:rPr>
        <w:t xml:space="preserve">Log the receipt of the </w:t>
      </w:r>
      <w:r w:rsidR="004020D8">
        <w:rPr>
          <w:rFonts w:ascii="Verdana" w:hAnsi="Verdana"/>
          <w:lang w:bidi="en-US"/>
        </w:rPr>
        <w:t>CHD</w:t>
      </w:r>
      <w:r w:rsidRPr="00E85371">
        <w:rPr>
          <w:rFonts w:ascii="Verdana" w:hAnsi="Verdana"/>
          <w:lang w:bidi="en-US"/>
        </w:rPr>
        <w:t xml:space="preserve"> as an incident</w:t>
      </w:r>
      <w:r w:rsidR="005B6279">
        <w:rPr>
          <w:rFonts w:ascii="Verdana" w:hAnsi="Verdana"/>
          <w:lang w:bidi="en-US"/>
        </w:rPr>
        <w:t xml:space="preserve"> using the Payment Security Incident Response </w:t>
      </w:r>
      <w:r w:rsidR="00E475BD">
        <w:rPr>
          <w:rFonts w:ascii="Verdana" w:hAnsi="Verdana"/>
          <w:lang w:bidi="en-US"/>
        </w:rPr>
        <w:t xml:space="preserve">Form </w:t>
      </w:r>
      <w:r w:rsidR="007010F7">
        <w:rPr>
          <w:rFonts w:ascii="Verdana" w:hAnsi="Verdana"/>
          <w:lang w:bidi="en-US"/>
        </w:rPr>
        <w:t>(</w:t>
      </w:r>
      <w:hyperlink r:id="rId16" w:history="1">
        <w:r w:rsidR="007010F7" w:rsidRPr="009E7C76">
          <w:rPr>
            <w:rStyle w:val="Hyperlink"/>
            <w:rFonts w:ascii="Verdana" w:hAnsi="Verdana"/>
            <w:lang w:bidi="en-US"/>
          </w:rPr>
          <w:t>https://www.imperial.ac.uk/finance/financial-services/controls--compliance/</w:t>
        </w:r>
        <w:proofErr w:type="spellStart"/>
        <w:r w:rsidR="007010F7" w:rsidRPr="009E7C76">
          <w:rPr>
            <w:rStyle w:val="Hyperlink"/>
            <w:rFonts w:ascii="Verdana" w:hAnsi="Verdana"/>
            <w:lang w:bidi="en-US"/>
          </w:rPr>
          <w:t>pci-dss</w:t>
        </w:r>
        <w:proofErr w:type="spellEnd"/>
        <w:r w:rsidR="007010F7" w:rsidRPr="009E7C76">
          <w:rPr>
            <w:rStyle w:val="Hyperlink"/>
            <w:rFonts w:ascii="Verdana" w:hAnsi="Verdana"/>
            <w:lang w:bidi="en-US"/>
          </w:rPr>
          <w:t>/incident-reporting/</w:t>
        </w:r>
      </w:hyperlink>
      <w:r w:rsidR="007010F7">
        <w:rPr>
          <w:rFonts w:ascii="Verdana" w:hAnsi="Verdana"/>
          <w:lang w:bidi="en-US"/>
        </w:rPr>
        <w:t xml:space="preserve">) </w:t>
      </w:r>
      <w:r w:rsidR="005B6279">
        <w:rPr>
          <w:rFonts w:ascii="Verdana" w:hAnsi="Verdana"/>
          <w:lang w:bidi="en-US"/>
        </w:rPr>
        <w:t xml:space="preserve">to the </w:t>
      </w:r>
      <w:r w:rsidR="004020D8">
        <w:rPr>
          <w:rFonts w:ascii="Verdana" w:hAnsi="Verdana"/>
          <w:lang w:bidi="en-US"/>
        </w:rPr>
        <w:t xml:space="preserve">PCI DSS </w:t>
      </w:r>
      <w:r w:rsidR="005B6279">
        <w:rPr>
          <w:rFonts w:ascii="Verdana" w:hAnsi="Verdana"/>
          <w:lang w:bidi="en-US"/>
        </w:rPr>
        <w:t xml:space="preserve">Incident Response </w:t>
      </w:r>
      <w:r w:rsidR="004020D8">
        <w:rPr>
          <w:rFonts w:ascii="Verdana" w:hAnsi="Verdana"/>
          <w:lang w:bidi="en-US"/>
        </w:rPr>
        <w:t>T</w:t>
      </w:r>
      <w:r w:rsidR="005B6279">
        <w:rPr>
          <w:rFonts w:ascii="Verdana" w:hAnsi="Verdana"/>
          <w:lang w:bidi="en-US"/>
        </w:rPr>
        <w:t>eam</w:t>
      </w:r>
      <w:r w:rsidR="006033B8">
        <w:rPr>
          <w:rFonts w:ascii="Verdana" w:hAnsi="Verdana"/>
          <w:color w:val="FF0000"/>
        </w:rPr>
        <w:t xml:space="preserve"> </w:t>
      </w:r>
      <w:r w:rsidRPr="00E85371">
        <w:rPr>
          <w:rFonts w:ascii="Verdana" w:hAnsi="Verdana"/>
        </w:rPr>
        <w:t>who will initiate the necessary activities to mitigate potential risk</w:t>
      </w:r>
      <w:r w:rsidR="004020D8">
        <w:rPr>
          <w:rFonts w:ascii="Verdana" w:hAnsi="Verdana"/>
        </w:rPr>
        <w:t>s</w:t>
      </w:r>
      <w:r w:rsidRPr="00E85371">
        <w:rPr>
          <w:rFonts w:ascii="Verdana" w:hAnsi="Verdana"/>
        </w:rPr>
        <w:t xml:space="preserve"> to the organisation.</w:t>
      </w:r>
    </w:p>
    <w:p w14:paraId="6B24FF3F" w14:textId="23FBF448" w:rsidR="00083B55" w:rsidRPr="00E85371" w:rsidRDefault="00CB6F03" w:rsidP="00083B55">
      <w:pPr>
        <w:numPr>
          <w:ilvl w:val="0"/>
          <w:numId w:val="35"/>
        </w:numPr>
        <w:rPr>
          <w:rFonts w:ascii="Verdana" w:hAnsi="Verdana"/>
          <w:lang w:bidi="en-US"/>
        </w:rPr>
      </w:pPr>
      <w:r>
        <w:rPr>
          <w:rFonts w:ascii="Verdana" w:hAnsi="Verdana"/>
          <w:lang w:bidi="en-US"/>
        </w:rPr>
        <w:t>Irrecoverably delete or destroy the unsolicited cardholder data as soon as possible.</w:t>
      </w:r>
      <w:r w:rsidR="00083B55" w:rsidRPr="00E85371">
        <w:rPr>
          <w:rFonts w:ascii="Verdana" w:hAnsi="Verdana"/>
        </w:rPr>
        <w:t xml:space="preserve"> </w:t>
      </w:r>
      <w:r w:rsidR="007010F7">
        <w:rPr>
          <w:rFonts w:ascii="Verdana" w:hAnsi="Verdana"/>
        </w:rPr>
        <w:t xml:space="preserve">Further information on this is available in coordination with the PCI DSS Incident Response Team and ICT. </w:t>
      </w:r>
    </w:p>
    <w:p w14:paraId="0561149E" w14:textId="0674F4E9" w:rsidR="00AE65B7" w:rsidRPr="00E85371" w:rsidRDefault="00AE65B7" w:rsidP="00083B55">
      <w:pPr>
        <w:numPr>
          <w:ilvl w:val="0"/>
          <w:numId w:val="35"/>
        </w:numPr>
        <w:rPr>
          <w:rFonts w:ascii="Verdana" w:hAnsi="Verdana"/>
          <w:lang w:bidi="en-US"/>
        </w:rPr>
      </w:pPr>
      <w:r w:rsidRPr="00E85371">
        <w:rPr>
          <w:rFonts w:ascii="Verdana" w:hAnsi="Verdana"/>
        </w:rPr>
        <w:t>Review communication of current payment methods</w:t>
      </w:r>
      <w:r w:rsidR="00FD744A">
        <w:rPr>
          <w:rFonts w:ascii="Verdana" w:hAnsi="Verdana"/>
        </w:rPr>
        <w:t>. A</w:t>
      </w:r>
      <w:r w:rsidRPr="00E85371">
        <w:rPr>
          <w:rFonts w:ascii="Verdana" w:hAnsi="Verdana"/>
        </w:rPr>
        <w:t xml:space="preserve">mend </w:t>
      </w:r>
      <w:r w:rsidR="007F261F" w:rsidRPr="00E85371">
        <w:rPr>
          <w:rFonts w:ascii="Verdana" w:hAnsi="Verdana"/>
        </w:rPr>
        <w:t xml:space="preserve">and communicate </w:t>
      </w:r>
      <w:r w:rsidRPr="00E85371">
        <w:rPr>
          <w:rFonts w:ascii="Verdana" w:hAnsi="Verdana"/>
        </w:rPr>
        <w:t xml:space="preserve">accordingly in response to </w:t>
      </w:r>
      <w:r w:rsidR="007F261F" w:rsidRPr="00E85371">
        <w:rPr>
          <w:rFonts w:ascii="Verdana" w:hAnsi="Verdana"/>
        </w:rPr>
        <w:t xml:space="preserve">reasons the </w:t>
      </w:r>
      <w:r w:rsidR="00FD744A">
        <w:rPr>
          <w:rFonts w:ascii="Verdana" w:hAnsi="Verdana"/>
        </w:rPr>
        <w:t>CHD</w:t>
      </w:r>
      <w:r w:rsidR="007F261F" w:rsidRPr="00E85371">
        <w:rPr>
          <w:rFonts w:ascii="Verdana" w:hAnsi="Verdana"/>
        </w:rPr>
        <w:t xml:space="preserve"> was sent by non-approved channels.</w:t>
      </w:r>
    </w:p>
    <w:p w14:paraId="7860A745" w14:textId="77777777" w:rsidR="000C06B9" w:rsidRPr="00E85371" w:rsidRDefault="007F261F" w:rsidP="00B12D0B">
      <w:pPr>
        <w:pStyle w:val="Heading1"/>
        <w:rPr>
          <w:rFonts w:ascii="Verdana" w:hAnsi="Verdana"/>
        </w:rPr>
      </w:pPr>
      <w:r w:rsidRPr="00E85371">
        <w:rPr>
          <w:rFonts w:ascii="Verdana" w:hAnsi="Verdana"/>
        </w:rPr>
        <w:br w:type="page"/>
      </w:r>
      <w:bookmarkStart w:id="10" w:name="_Toc71706005"/>
      <w:r w:rsidR="00E12092" w:rsidRPr="00E85371">
        <w:rPr>
          <w:rFonts w:ascii="Verdana" w:hAnsi="Verdana"/>
        </w:rPr>
        <w:lastRenderedPageBreak/>
        <w:t>Document Management</w:t>
      </w:r>
      <w:bookmarkEnd w:id="10"/>
    </w:p>
    <w:p w14:paraId="2EFDF2E9" w14:textId="77777777" w:rsidR="00E12092" w:rsidRPr="00E85371" w:rsidRDefault="00E12092" w:rsidP="00E12092">
      <w:pPr>
        <w:rPr>
          <w:rFonts w:ascii="Verdana" w:hAnsi="Verdana"/>
        </w:rPr>
      </w:pPr>
    </w:p>
    <w:p w14:paraId="5F5C9D66" w14:textId="77777777" w:rsidR="00E12092" w:rsidRPr="00E85371" w:rsidRDefault="00E12092" w:rsidP="00E12092">
      <w:pPr>
        <w:pStyle w:val="Heading2"/>
        <w:rPr>
          <w:rFonts w:ascii="Verdana" w:eastAsia="Verdana" w:hAnsi="Verdana"/>
          <w:lang w:val="en-US"/>
        </w:rPr>
      </w:pPr>
      <w:bookmarkStart w:id="11" w:name="_Toc71706006"/>
      <w:r w:rsidRPr="00E85371">
        <w:rPr>
          <w:rFonts w:ascii="Verdana" w:eastAsia="Verdana" w:hAnsi="Verdana"/>
          <w:lang w:val="en-US"/>
        </w:rPr>
        <w:t>Document Owner and Approval</w:t>
      </w:r>
      <w:bookmarkEnd w:id="11"/>
    </w:p>
    <w:p w14:paraId="7F0F3A34" w14:textId="7DA8595E" w:rsidR="00E12092" w:rsidRPr="00E85371" w:rsidRDefault="00232AA9" w:rsidP="00E12092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br/>
      </w:r>
      <w:r w:rsidR="005B6279">
        <w:rPr>
          <w:rFonts w:ascii="Verdana" w:hAnsi="Verdana"/>
          <w:lang w:val="en-US"/>
        </w:rPr>
        <w:t>The Payment Compliance Officer</w:t>
      </w:r>
      <w:r w:rsidR="00E12092" w:rsidRPr="00E85371">
        <w:rPr>
          <w:rFonts w:ascii="Verdana" w:hAnsi="Verdana"/>
          <w:lang w:val="en-US"/>
        </w:rPr>
        <w:t xml:space="preserve"> is the owner of this document and is responsible for ensuring that it is reviewed in line with </w:t>
      </w:r>
      <w:r w:rsidR="00F70BCC" w:rsidRPr="00E85371">
        <w:rPr>
          <w:rFonts w:ascii="Verdana" w:hAnsi="Verdana"/>
          <w:lang w:val="en-US"/>
        </w:rPr>
        <w:t>Imperial’s</w:t>
      </w:r>
      <w:r w:rsidR="00E12092" w:rsidRPr="00E85371">
        <w:rPr>
          <w:rFonts w:ascii="Verdana" w:hAnsi="Verdana"/>
          <w:lang w:val="en-US"/>
        </w:rPr>
        <w:t xml:space="preserve"> review requirements. </w:t>
      </w:r>
      <w:r w:rsidR="00E12092" w:rsidRPr="00E85371">
        <w:rPr>
          <w:rFonts w:ascii="Verdana" w:hAnsi="Verdana"/>
          <w:lang w:val="en-US"/>
        </w:rPr>
        <w:br/>
      </w:r>
      <w:r w:rsidR="00E12092" w:rsidRPr="00E85371">
        <w:rPr>
          <w:rFonts w:ascii="Verdana" w:hAnsi="Verdana"/>
          <w:lang w:val="en-US"/>
        </w:rPr>
        <w:br/>
        <w:t>A current version of this document is available to all relevant me</w:t>
      </w:r>
      <w:r w:rsidR="005B6279">
        <w:rPr>
          <w:rFonts w:ascii="Verdana" w:hAnsi="Verdana"/>
          <w:lang w:val="en-US"/>
        </w:rPr>
        <w:t xml:space="preserve">mbers of staff and is published on Imperial’s website. </w:t>
      </w:r>
    </w:p>
    <w:p w14:paraId="0638C92A" w14:textId="77777777" w:rsidR="00E12092" w:rsidRPr="00E85371" w:rsidRDefault="00E12092" w:rsidP="00E12092">
      <w:pPr>
        <w:rPr>
          <w:rFonts w:ascii="Verdana" w:hAnsi="Verdana"/>
          <w:lang w:val="en-US"/>
        </w:rPr>
      </w:pPr>
      <w:r w:rsidRPr="00E85371">
        <w:rPr>
          <w:rFonts w:ascii="Verdana" w:hAnsi="Verdana"/>
          <w:lang w:val="en-US"/>
        </w:rPr>
        <w:t xml:space="preserve">This </w:t>
      </w:r>
      <w:r w:rsidR="00454524" w:rsidRPr="00E85371">
        <w:rPr>
          <w:rFonts w:ascii="Verdana" w:hAnsi="Verdana"/>
          <w:lang w:val="en-US"/>
        </w:rPr>
        <w:t>procedure</w:t>
      </w:r>
      <w:r w:rsidRPr="00E85371">
        <w:rPr>
          <w:rFonts w:ascii="Verdana" w:hAnsi="Verdana"/>
          <w:lang w:val="en-US"/>
        </w:rPr>
        <w:t xml:space="preserve"> has been</w:t>
      </w:r>
      <w:r w:rsidR="005B6279">
        <w:rPr>
          <w:rFonts w:ascii="Verdana" w:hAnsi="Verdana"/>
          <w:lang w:val="en-US"/>
        </w:rPr>
        <w:t xml:space="preserve"> reviewed and</w:t>
      </w:r>
      <w:r w:rsidRPr="00E85371">
        <w:rPr>
          <w:rFonts w:ascii="Verdana" w:hAnsi="Verdana"/>
          <w:lang w:val="en-US"/>
        </w:rPr>
        <w:t xml:space="preserve"> approved by </w:t>
      </w:r>
      <w:r w:rsidR="005B6279">
        <w:rPr>
          <w:rFonts w:ascii="Verdana" w:hAnsi="Verdana"/>
          <w:lang w:val="en-US"/>
        </w:rPr>
        <w:t xml:space="preserve">the Payment Security Committee. </w:t>
      </w:r>
    </w:p>
    <w:p w14:paraId="4B8A15DE" w14:textId="77777777" w:rsidR="00E12092" w:rsidRPr="00E85371" w:rsidRDefault="00E12092" w:rsidP="00E12092">
      <w:pPr>
        <w:rPr>
          <w:rFonts w:ascii="Verdana" w:hAnsi="Verdana"/>
        </w:rPr>
      </w:pPr>
    </w:p>
    <w:p w14:paraId="0B75B5AD" w14:textId="77777777" w:rsidR="00E12092" w:rsidRPr="00E85371" w:rsidRDefault="00E12092" w:rsidP="00E12092">
      <w:pPr>
        <w:pStyle w:val="Heading2"/>
        <w:rPr>
          <w:rFonts w:ascii="Verdana" w:hAnsi="Verdana"/>
        </w:rPr>
      </w:pPr>
      <w:bookmarkStart w:id="12" w:name="_Toc71706007"/>
      <w:r w:rsidRPr="00E85371">
        <w:rPr>
          <w:rFonts w:ascii="Verdana" w:hAnsi="Verdana"/>
        </w:rPr>
        <w:t>Change History Record</w:t>
      </w:r>
      <w:bookmarkEnd w:id="12"/>
      <w:r w:rsidRPr="00E85371">
        <w:rPr>
          <w:rFonts w:ascii="Verdana" w:hAnsi="Verdana"/>
        </w:rPr>
        <w:br/>
      </w:r>
    </w:p>
    <w:tbl>
      <w:tblPr>
        <w:tblW w:w="92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"/>
        <w:gridCol w:w="4274"/>
        <w:gridCol w:w="2415"/>
        <w:gridCol w:w="1743"/>
      </w:tblGrid>
      <w:tr w:rsidR="00E12092" w:rsidRPr="000676CB" w14:paraId="499FCAFC" w14:textId="77777777" w:rsidTr="00FD1DDA">
        <w:trPr>
          <w:trHeight w:val="32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6106" w14:textId="77777777" w:rsidR="00E12092" w:rsidRPr="000676CB" w:rsidRDefault="00E12092" w:rsidP="00E12092">
            <w:pPr>
              <w:spacing w:after="0" w:line="240" w:lineRule="auto"/>
              <w:contextualSpacing/>
              <w:rPr>
                <w:rFonts w:ascii="Verdana" w:eastAsia="Verdana" w:hAnsi="Verdana" w:cs="Verdana"/>
                <w:b/>
                <w:sz w:val="18"/>
                <w:szCs w:val="18"/>
                <w:lang w:val="en-US" w:eastAsia="en-GB"/>
              </w:rPr>
            </w:pPr>
            <w:r w:rsidRPr="000676CB">
              <w:rPr>
                <w:rFonts w:ascii="Verdana" w:eastAsia="Verdana" w:hAnsi="Verdana" w:cs="Verdana"/>
                <w:b/>
                <w:sz w:val="18"/>
                <w:szCs w:val="18"/>
                <w:lang w:val="en-US" w:eastAsia="en-GB"/>
              </w:rPr>
              <w:t>Issue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FF58" w14:textId="77777777" w:rsidR="00E12092" w:rsidRPr="000676CB" w:rsidRDefault="00E12092" w:rsidP="00E12092">
            <w:pPr>
              <w:spacing w:after="0" w:line="240" w:lineRule="auto"/>
              <w:contextualSpacing/>
              <w:rPr>
                <w:rFonts w:ascii="Verdana" w:eastAsia="Verdana" w:hAnsi="Verdana" w:cs="Verdana"/>
                <w:b/>
                <w:sz w:val="18"/>
                <w:szCs w:val="18"/>
                <w:lang w:val="en-US" w:eastAsia="en-GB"/>
              </w:rPr>
            </w:pPr>
            <w:r w:rsidRPr="000676CB">
              <w:rPr>
                <w:rFonts w:ascii="Verdana" w:eastAsia="Verdana" w:hAnsi="Verdana" w:cs="Verdana"/>
                <w:b/>
                <w:sz w:val="18"/>
                <w:szCs w:val="18"/>
                <w:lang w:val="en-US" w:eastAsia="en-GB"/>
              </w:rPr>
              <w:t>Description of Change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967C" w14:textId="77777777" w:rsidR="00E12092" w:rsidRPr="000676CB" w:rsidRDefault="00E12092" w:rsidP="00E12092">
            <w:pPr>
              <w:spacing w:after="0" w:line="240" w:lineRule="auto"/>
              <w:contextualSpacing/>
              <w:rPr>
                <w:rFonts w:ascii="Verdana" w:eastAsia="Verdana" w:hAnsi="Verdana" w:cs="Verdana"/>
                <w:b/>
                <w:sz w:val="18"/>
                <w:szCs w:val="18"/>
                <w:lang w:val="en-US" w:eastAsia="en-GB"/>
              </w:rPr>
            </w:pPr>
            <w:r w:rsidRPr="000676CB">
              <w:rPr>
                <w:rFonts w:ascii="Verdana" w:eastAsia="Verdana" w:hAnsi="Verdana" w:cs="Verdana"/>
                <w:b/>
                <w:sz w:val="18"/>
                <w:szCs w:val="18"/>
                <w:lang w:val="en-US" w:eastAsia="en-GB"/>
              </w:rPr>
              <w:t xml:space="preserve">Approved by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B969" w14:textId="77777777" w:rsidR="00E12092" w:rsidRPr="000676CB" w:rsidRDefault="00E12092" w:rsidP="00E12092">
            <w:pPr>
              <w:spacing w:after="0" w:line="240" w:lineRule="auto"/>
              <w:contextualSpacing/>
              <w:rPr>
                <w:rFonts w:ascii="Verdana" w:eastAsia="Verdana" w:hAnsi="Verdana" w:cs="Verdana"/>
                <w:b/>
                <w:sz w:val="18"/>
                <w:szCs w:val="18"/>
                <w:lang w:val="en-US" w:eastAsia="en-GB"/>
              </w:rPr>
            </w:pPr>
            <w:r w:rsidRPr="000676CB">
              <w:rPr>
                <w:rFonts w:ascii="Verdana" w:eastAsia="Verdana" w:hAnsi="Verdana" w:cs="Verdana"/>
                <w:b/>
                <w:sz w:val="18"/>
                <w:szCs w:val="18"/>
                <w:lang w:val="en-US" w:eastAsia="en-GB"/>
              </w:rPr>
              <w:t>Date of Issue</w:t>
            </w:r>
          </w:p>
        </w:tc>
      </w:tr>
      <w:tr w:rsidR="00E12092" w:rsidRPr="000676CB" w14:paraId="52A3F04D" w14:textId="77777777" w:rsidTr="00FD1DDA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F739" w14:textId="7E659F67" w:rsidR="00E12092" w:rsidRPr="00FD1DDA" w:rsidRDefault="00FD1DDA" w:rsidP="00E12092">
            <w:pPr>
              <w:spacing w:after="0" w:line="240" w:lineRule="auto"/>
              <w:contextualSpacing/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</w:pPr>
            <w:r w:rsidRPr="00FD1DDA"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  <w:t>1.0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F8BB" w14:textId="108FC6F6" w:rsidR="00E12092" w:rsidRPr="00FD1DDA" w:rsidRDefault="00FD1DDA" w:rsidP="00E12092">
            <w:pPr>
              <w:spacing w:after="0" w:line="240" w:lineRule="auto"/>
              <w:contextualSpacing/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</w:pPr>
            <w:proofErr w:type="spellStart"/>
            <w:r w:rsidRPr="00FD1DDA"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  <w:t>PSMSCHProc</w:t>
            </w:r>
            <w:proofErr w:type="spellEnd"/>
            <w:r w:rsidRPr="00FD1DDA"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  <w:t xml:space="preserve"> Introduction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1286" w14:textId="38FE81DC" w:rsidR="00E12092" w:rsidRPr="00FD1DDA" w:rsidRDefault="00FD1DDA" w:rsidP="00E12092">
            <w:pPr>
              <w:spacing w:after="0" w:line="240" w:lineRule="auto"/>
              <w:contextualSpacing/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</w:pPr>
            <w:r w:rsidRPr="00FD1DDA"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  <w:t>Payment Security Committee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6A70" w14:textId="5D6A1229" w:rsidR="00E12092" w:rsidRPr="00FD1DDA" w:rsidRDefault="00FD1DDA" w:rsidP="00E12092">
            <w:pPr>
              <w:spacing w:after="0" w:line="240" w:lineRule="auto"/>
              <w:contextualSpacing/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</w:pPr>
            <w:r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  <w:t>12/05/2021</w:t>
            </w:r>
          </w:p>
        </w:tc>
      </w:tr>
      <w:tr w:rsidR="00E12092" w:rsidRPr="000676CB" w14:paraId="667AC032" w14:textId="77777777" w:rsidTr="00FD1DDA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9ADA" w14:textId="71906597" w:rsidR="00E12092" w:rsidRPr="00FD1DDA" w:rsidRDefault="00F70BCC" w:rsidP="00E12092">
            <w:pPr>
              <w:spacing w:after="0" w:line="240" w:lineRule="auto"/>
              <w:contextualSpacing/>
              <w:jc w:val="both"/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</w:pPr>
            <w:r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>1.</w:t>
            </w:r>
            <w:r w:rsidR="003444B4"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9815" w14:textId="1E7D68FE" w:rsidR="00E12092" w:rsidRPr="00FD1DDA" w:rsidRDefault="003444B4" w:rsidP="00E12092">
            <w:pPr>
              <w:spacing w:after="0" w:line="240" w:lineRule="auto"/>
              <w:contextualSpacing/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</w:pPr>
            <w:r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  <w:t xml:space="preserve">Changing the wording </w:t>
            </w:r>
            <w:r w:rsidR="00544691">
              <w:rPr>
                <w:rFonts w:ascii="Verdana" w:eastAsia="Verdana" w:hAnsi="Verdana" w:cs="Verdana"/>
                <w:sz w:val="14"/>
                <w:szCs w:val="18"/>
                <w:lang w:val="en-US" w:eastAsia="en-GB"/>
              </w:rPr>
              <w:t>and minor revisions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0CE9" w14:textId="5DBD032D" w:rsidR="00E12092" w:rsidRPr="00FD1DDA" w:rsidRDefault="00544691" w:rsidP="00E12092">
            <w:pPr>
              <w:spacing w:after="0" w:line="240" w:lineRule="auto"/>
              <w:contextualSpacing/>
              <w:jc w:val="both"/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</w:pPr>
            <w:r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>Payment Security Committee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11BA" w14:textId="3AB36B41" w:rsidR="00E12092" w:rsidRPr="00FD1DDA" w:rsidRDefault="00E85213" w:rsidP="00E12092">
            <w:pPr>
              <w:spacing w:after="0" w:line="240" w:lineRule="auto"/>
              <w:contextualSpacing/>
              <w:jc w:val="both"/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</w:pPr>
            <w:r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>01/</w:t>
            </w:r>
            <w:r w:rsidR="00C02ECD"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>12</w:t>
            </w:r>
            <w:r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>/202</w:t>
            </w:r>
            <w:r w:rsidR="00C02ECD"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>3</w:t>
            </w:r>
          </w:p>
        </w:tc>
      </w:tr>
      <w:tr w:rsidR="00E12092" w:rsidRPr="000676CB" w14:paraId="06FD15EE" w14:textId="77777777" w:rsidTr="00FD1DDA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1DC7" w14:textId="5614802D" w:rsidR="00E12092" w:rsidRPr="00FD1DDA" w:rsidRDefault="004A0627" w:rsidP="00E12092">
            <w:pPr>
              <w:spacing w:after="0" w:line="240" w:lineRule="auto"/>
              <w:contextualSpacing/>
              <w:jc w:val="both"/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</w:pPr>
            <w:r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>1.2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0614" w14:textId="00C30F51" w:rsidR="00E12092" w:rsidRPr="00FD1DDA" w:rsidRDefault="004A0627" w:rsidP="00E12092">
            <w:pPr>
              <w:spacing w:after="0" w:line="240" w:lineRule="auto"/>
              <w:contextualSpacing/>
              <w:jc w:val="both"/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</w:pPr>
            <w:r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 xml:space="preserve">Minor wording </w:t>
            </w:r>
            <w:r w:rsidR="002C40A8"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>revisions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FC3E" w14:textId="095769A1" w:rsidR="00E12092" w:rsidRPr="00FD1DDA" w:rsidRDefault="004A0627" w:rsidP="00E12092">
            <w:pPr>
              <w:spacing w:after="0" w:line="240" w:lineRule="auto"/>
              <w:contextualSpacing/>
              <w:jc w:val="both"/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</w:pPr>
            <w:r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>Payment Security Committee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9B3B" w14:textId="190A834B" w:rsidR="00E12092" w:rsidRPr="00FD1DDA" w:rsidRDefault="004A0627" w:rsidP="00E12092">
            <w:pPr>
              <w:spacing w:after="0" w:line="240" w:lineRule="auto"/>
              <w:contextualSpacing/>
              <w:jc w:val="both"/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</w:pPr>
            <w:r>
              <w:rPr>
                <w:rFonts w:ascii="Verdana" w:eastAsia="Arial" w:hAnsi="Verdana" w:cs="Arial"/>
                <w:sz w:val="14"/>
                <w:szCs w:val="18"/>
                <w:lang w:val="en-US" w:eastAsia="en-GB"/>
              </w:rPr>
              <w:t>23/05/2025</w:t>
            </w:r>
          </w:p>
        </w:tc>
      </w:tr>
    </w:tbl>
    <w:p w14:paraId="363F09BA" w14:textId="77777777" w:rsidR="00E12092" w:rsidRPr="000676CB" w:rsidRDefault="00E12092" w:rsidP="00E12092">
      <w:pPr>
        <w:rPr>
          <w:rFonts w:ascii="Verdana" w:hAnsi="Verdana"/>
          <w:sz w:val="18"/>
          <w:szCs w:val="18"/>
        </w:rPr>
      </w:pPr>
    </w:p>
    <w:p w14:paraId="2B64FC3D" w14:textId="77777777" w:rsidR="00161096" w:rsidRPr="00E85371" w:rsidRDefault="00161096">
      <w:pPr>
        <w:rPr>
          <w:rFonts w:ascii="Verdana" w:hAnsi="Verdana"/>
        </w:rPr>
      </w:pPr>
    </w:p>
    <w:sectPr w:rsidR="00161096" w:rsidRPr="00E85371" w:rsidSect="00EE65DB">
      <w:headerReference w:type="defaul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Cephas Masaba" w:date="2023-12-18T19:02:00Z" w:initials="CM">
    <w:p w14:paraId="052F11F6" w14:textId="77777777" w:rsidR="006E2F12" w:rsidRDefault="006E2F12" w:rsidP="006E2F12">
      <w:pPr>
        <w:pStyle w:val="CommentText"/>
      </w:pPr>
      <w:r>
        <w:rPr>
          <w:rStyle w:val="CommentReference"/>
        </w:rPr>
        <w:annotationRef/>
      </w:r>
      <w:r>
        <w:t>Do we ever accept recurring card payments</w:t>
      </w:r>
    </w:p>
  </w:comment>
  <w:comment w:id="6" w:author="Cephas Masaba" w:date="2023-12-18T19:14:00Z" w:initials="CM">
    <w:p w14:paraId="31AB6F4F" w14:textId="77777777" w:rsidR="00F86B68" w:rsidRDefault="00F86B68" w:rsidP="00F86B68">
      <w:pPr>
        <w:pStyle w:val="CommentText"/>
      </w:pPr>
      <w:r>
        <w:rPr>
          <w:rStyle w:val="CommentReference"/>
        </w:rPr>
        <w:annotationRef/>
      </w:r>
      <w:r>
        <w:t xml:space="preserve">How can we add the requirement for the payment to be processed in a closed room with either CCTV and or swipe card access door. </w:t>
      </w:r>
      <w:r>
        <w:br/>
      </w:r>
      <w:r>
        <w:br/>
        <w:t xml:space="preserve">How can we add the requirement of not writing down any CHD on paper. </w:t>
      </w:r>
      <w:r>
        <w:br/>
        <w:t>No pens, bags, mobile phones or any devices capable of recording or taking pictures in the room.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2F11F6" w15:done="1"/>
  <w15:commentEx w15:paraId="31AB6F4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1E1F84" w16cex:dateUtc="2023-12-18T19:02:00Z"/>
  <w16cex:commentExtensible w16cex:durableId="4AA49FC8" w16cex:dateUtc="2023-12-18T1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2F11F6" w16cid:durableId="201E1F84"/>
  <w16cid:commentId w16cid:paraId="31AB6F4F" w16cid:durableId="4AA49F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E2B2" w14:textId="77777777" w:rsidR="00685E5C" w:rsidRDefault="00685E5C" w:rsidP="00EE65DB">
      <w:pPr>
        <w:spacing w:after="0" w:line="240" w:lineRule="auto"/>
      </w:pPr>
      <w:r>
        <w:separator/>
      </w:r>
    </w:p>
  </w:endnote>
  <w:endnote w:type="continuationSeparator" w:id="0">
    <w:p w14:paraId="54ED987F" w14:textId="77777777" w:rsidR="00685E5C" w:rsidRDefault="00685E5C" w:rsidP="00EE65DB">
      <w:pPr>
        <w:spacing w:after="0" w:line="240" w:lineRule="auto"/>
      </w:pPr>
      <w:r>
        <w:continuationSeparator/>
      </w:r>
    </w:p>
  </w:endnote>
  <w:endnote w:type="continuationNotice" w:id="1">
    <w:p w14:paraId="2F7BAE4E" w14:textId="77777777" w:rsidR="00685E5C" w:rsidRDefault="00685E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3B4F" w14:textId="77777777" w:rsidR="00685E5C" w:rsidRDefault="00685E5C" w:rsidP="00EE65DB">
      <w:pPr>
        <w:spacing w:after="0" w:line="240" w:lineRule="auto"/>
      </w:pPr>
      <w:r>
        <w:separator/>
      </w:r>
    </w:p>
  </w:footnote>
  <w:footnote w:type="continuationSeparator" w:id="0">
    <w:p w14:paraId="12E6041A" w14:textId="77777777" w:rsidR="00685E5C" w:rsidRDefault="00685E5C" w:rsidP="00EE65DB">
      <w:pPr>
        <w:spacing w:after="0" w:line="240" w:lineRule="auto"/>
      </w:pPr>
      <w:r>
        <w:continuationSeparator/>
      </w:r>
    </w:p>
  </w:footnote>
  <w:footnote w:type="continuationNotice" w:id="1">
    <w:p w14:paraId="0AB08745" w14:textId="77777777" w:rsidR="00685E5C" w:rsidRDefault="00685E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82" w:type="pct"/>
      <w:tblInd w:w="-743" w:type="dxa"/>
      <w:tblLook w:val="0000" w:firstRow="0" w:lastRow="0" w:firstColumn="0" w:lastColumn="0" w:noHBand="0" w:noVBand="0"/>
    </w:tblPr>
    <w:tblGrid>
      <w:gridCol w:w="1108"/>
      <w:gridCol w:w="7201"/>
      <w:gridCol w:w="2490"/>
    </w:tblGrid>
    <w:tr w:rsidR="00896450" w:rsidRPr="00C42D65" w14:paraId="28726D0F" w14:textId="77777777" w:rsidTr="00C029CC">
      <w:trPr>
        <w:trHeight w:val="1307"/>
      </w:trPr>
      <w:tc>
        <w:tcPr>
          <w:tcW w:w="513" w:type="pct"/>
          <w:vAlign w:val="center"/>
        </w:tcPr>
        <w:p w14:paraId="792E917A" w14:textId="77777777" w:rsidR="00896450" w:rsidRPr="00EE65DB" w:rsidRDefault="00896450" w:rsidP="00C029CC">
          <w:pPr>
            <w:tabs>
              <w:tab w:val="center" w:pos="4513"/>
              <w:tab w:val="right" w:pos="9026"/>
            </w:tabs>
            <w:suppressAutoHyphens/>
            <w:spacing w:after="0" w:line="240" w:lineRule="auto"/>
            <w:rPr>
              <w:rFonts w:eastAsia="Times New Roman"/>
              <w:sz w:val="36"/>
              <w:szCs w:val="36"/>
              <w:lang w:eastAsia="ar-SA"/>
            </w:rPr>
          </w:pPr>
        </w:p>
      </w:tc>
      <w:tc>
        <w:tcPr>
          <w:tcW w:w="3334" w:type="pct"/>
          <w:shd w:val="clear" w:color="auto" w:fill="auto"/>
          <w:vAlign w:val="center"/>
        </w:tcPr>
        <w:p w14:paraId="0A8FF141" w14:textId="0B9916E5" w:rsidR="00896450" w:rsidRPr="006033B8" w:rsidRDefault="00896450" w:rsidP="00896450">
          <w:pPr>
            <w:tabs>
              <w:tab w:val="center" w:pos="4513"/>
              <w:tab w:val="right" w:pos="9026"/>
            </w:tabs>
            <w:suppressAutoHyphens/>
            <w:spacing w:after="0" w:line="240" w:lineRule="auto"/>
            <w:rPr>
              <w:rFonts w:ascii="Verdana" w:eastAsia="Times New Roman" w:hAnsi="Verdana"/>
              <w:sz w:val="32"/>
              <w:szCs w:val="32"/>
              <w:lang w:eastAsia="ar-SA"/>
            </w:rPr>
          </w:pPr>
          <w:r w:rsidRPr="006033B8">
            <w:rPr>
              <w:rFonts w:ascii="Verdana" w:eastAsia="Times New Roman" w:hAnsi="Verdana"/>
              <w:b/>
              <w:sz w:val="32"/>
              <w:szCs w:val="32"/>
              <w:lang w:eastAsia="ar-SA"/>
            </w:rPr>
            <w:t>P</w:t>
          </w:r>
          <w:r w:rsidR="00616597">
            <w:rPr>
              <w:rFonts w:ascii="Verdana" w:eastAsia="Times New Roman" w:hAnsi="Verdana"/>
              <w:b/>
              <w:sz w:val="32"/>
              <w:szCs w:val="32"/>
              <w:lang w:eastAsia="ar-SA"/>
            </w:rPr>
            <w:t>SMS</w:t>
          </w:r>
          <w:r w:rsidRPr="006033B8">
            <w:rPr>
              <w:rFonts w:ascii="Verdana" w:eastAsia="Times New Roman" w:hAnsi="Verdana"/>
              <w:b/>
              <w:sz w:val="32"/>
              <w:szCs w:val="32"/>
              <w:lang w:eastAsia="ar-SA"/>
            </w:rPr>
            <w:br/>
          </w:r>
          <w:r w:rsidR="00A83965" w:rsidRPr="008D1A7C">
            <w:rPr>
              <w:rFonts w:ascii="Verdana" w:hAnsi="Verdana"/>
              <w:b/>
              <w:sz w:val="28"/>
              <w:szCs w:val="32"/>
            </w:rPr>
            <w:t>C</w:t>
          </w:r>
          <w:r w:rsidR="00616597">
            <w:rPr>
              <w:rFonts w:ascii="Verdana" w:hAnsi="Verdana"/>
              <w:b/>
              <w:sz w:val="28"/>
              <w:szCs w:val="32"/>
            </w:rPr>
            <w:t>HD</w:t>
          </w:r>
          <w:r w:rsidR="00A83965" w:rsidRPr="008D1A7C">
            <w:rPr>
              <w:rFonts w:ascii="Verdana" w:hAnsi="Verdana"/>
              <w:b/>
              <w:sz w:val="28"/>
              <w:szCs w:val="32"/>
            </w:rPr>
            <w:t xml:space="preserve"> Handling Procedures</w:t>
          </w:r>
        </w:p>
      </w:tc>
      <w:tc>
        <w:tcPr>
          <w:tcW w:w="1154" w:type="pct"/>
        </w:tcPr>
        <w:p w14:paraId="4F270EDF" w14:textId="04573714" w:rsidR="00896450" w:rsidRPr="006033B8" w:rsidRDefault="00896450" w:rsidP="00FD1DDA">
          <w:pPr>
            <w:rPr>
              <w:rFonts w:ascii="Verdana" w:hAnsi="Verdana"/>
              <w:sz w:val="14"/>
              <w:szCs w:val="14"/>
            </w:rPr>
          </w:pPr>
          <w:r w:rsidRPr="006033B8">
            <w:rPr>
              <w:rFonts w:ascii="Verdana" w:hAnsi="Verdana"/>
              <w:sz w:val="16"/>
              <w:szCs w:val="16"/>
              <w:lang w:eastAsia="ar-SA"/>
            </w:rPr>
            <w:br/>
          </w:r>
          <w:r w:rsidRPr="006033B8">
            <w:rPr>
              <w:rFonts w:ascii="Verdana" w:hAnsi="Verdana"/>
              <w:b/>
              <w:sz w:val="14"/>
              <w:szCs w:val="14"/>
              <w:lang w:eastAsia="ar-SA"/>
            </w:rPr>
            <w:t>Reference:</w:t>
          </w:r>
          <w:r w:rsidR="007F261F" w:rsidRPr="006033B8">
            <w:rPr>
              <w:rFonts w:ascii="Verdana" w:hAnsi="Verdana"/>
              <w:sz w:val="14"/>
              <w:szCs w:val="14"/>
              <w:lang w:eastAsia="ar-SA"/>
            </w:rPr>
            <w:t xml:space="preserve"> </w:t>
          </w:r>
          <w:proofErr w:type="spellStart"/>
          <w:r w:rsidR="007F261F" w:rsidRPr="006033B8">
            <w:rPr>
              <w:rFonts w:ascii="Verdana" w:hAnsi="Verdana"/>
              <w:sz w:val="14"/>
              <w:szCs w:val="14"/>
              <w:lang w:eastAsia="ar-SA"/>
            </w:rPr>
            <w:t>PSMSCHProc</w:t>
          </w:r>
          <w:proofErr w:type="spellEnd"/>
          <w:r w:rsidRPr="006033B8">
            <w:rPr>
              <w:rFonts w:ascii="Verdana" w:hAnsi="Verdana"/>
              <w:sz w:val="14"/>
              <w:szCs w:val="14"/>
              <w:lang w:eastAsia="ar-SA"/>
            </w:rPr>
            <w:br/>
          </w:r>
          <w:r w:rsidR="006033B8" w:rsidRPr="006033B8">
            <w:rPr>
              <w:rFonts w:ascii="Verdana" w:hAnsi="Verdana"/>
              <w:b/>
              <w:sz w:val="14"/>
              <w:szCs w:val="14"/>
              <w:lang w:eastAsia="ar-SA"/>
            </w:rPr>
            <w:t>Issue</w:t>
          </w:r>
          <w:r w:rsidRPr="006033B8">
            <w:rPr>
              <w:rFonts w:ascii="Verdana" w:hAnsi="Verdana"/>
              <w:b/>
              <w:sz w:val="14"/>
              <w:szCs w:val="14"/>
              <w:lang w:eastAsia="ar-SA"/>
            </w:rPr>
            <w:t>:</w:t>
          </w:r>
          <w:r w:rsidRPr="006033B8">
            <w:rPr>
              <w:rFonts w:ascii="Verdana" w:hAnsi="Verdana"/>
              <w:sz w:val="14"/>
              <w:szCs w:val="14"/>
              <w:lang w:eastAsia="ar-SA"/>
            </w:rPr>
            <w:t xml:space="preserve"> </w:t>
          </w:r>
          <w:r w:rsidR="00AA1420">
            <w:rPr>
              <w:rFonts w:ascii="Verdana" w:hAnsi="Verdana"/>
              <w:sz w:val="14"/>
              <w:szCs w:val="14"/>
              <w:lang w:eastAsia="ar-SA"/>
            </w:rPr>
            <w:t>1.</w:t>
          </w:r>
          <w:r w:rsidR="00D71229">
            <w:rPr>
              <w:rFonts w:ascii="Verdana" w:hAnsi="Verdana"/>
              <w:sz w:val="14"/>
              <w:szCs w:val="14"/>
              <w:lang w:eastAsia="ar-SA"/>
            </w:rPr>
            <w:t>2</w:t>
          </w:r>
          <w:r w:rsidRPr="006033B8">
            <w:rPr>
              <w:rFonts w:ascii="Verdana" w:hAnsi="Verdana"/>
              <w:sz w:val="14"/>
              <w:szCs w:val="14"/>
              <w:lang w:eastAsia="ar-SA"/>
            </w:rPr>
            <w:br/>
          </w:r>
          <w:r w:rsidRPr="006033B8">
            <w:rPr>
              <w:rFonts w:ascii="Verdana" w:hAnsi="Verdana"/>
              <w:b/>
              <w:sz w:val="14"/>
              <w:szCs w:val="14"/>
              <w:lang w:eastAsia="ar-SA"/>
            </w:rPr>
            <w:t xml:space="preserve">Issue Date: </w:t>
          </w:r>
          <w:r w:rsidR="00844FBD">
            <w:rPr>
              <w:rFonts w:ascii="Verdana" w:hAnsi="Verdana"/>
              <w:sz w:val="14"/>
              <w:szCs w:val="14"/>
              <w:lang w:eastAsia="ar-SA"/>
            </w:rPr>
            <w:t>23/05/2025</w:t>
          </w:r>
          <w:r w:rsidRPr="006033B8">
            <w:rPr>
              <w:rFonts w:ascii="Verdana" w:hAnsi="Verdana"/>
              <w:sz w:val="14"/>
              <w:szCs w:val="14"/>
              <w:lang w:eastAsia="ar-SA"/>
            </w:rPr>
            <w:br/>
          </w:r>
          <w:r w:rsidRPr="006033B8">
            <w:rPr>
              <w:rFonts w:ascii="Verdana" w:hAnsi="Verdana"/>
              <w:b/>
              <w:sz w:val="14"/>
              <w:szCs w:val="14"/>
            </w:rPr>
            <w:t>Page</w:t>
          </w:r>
          <w:r w:rsidRPr="006033B8">
            <w:rPr>
              <w:rFonts w:ascii="Verdana" w:hAnsi="Verdana"/>
              <w:sz w:val="14"/>
              <w:szCs w:val="14"/>
            </w:rPr>
            <w:t xml:space="preserve"> </w:t>
          </w:r>
          <w:r w:rsidRPr="006033B8">
            <w:rPr>
              <w:rFonts w:ascii="Verdana" w:hAnsi="Verdana"/>
              <w:sz w:val="14"/>
              <w:szCs w:val="14"/>
            </w:rPr>
            <w:fldChar w:fldCharType="begin"/>
          </w:r>
          <w:r w:rsidRPr="006033B8">
            <w:rPr>
              <w:rFonts w:ascii="Verdana" w:hAnsi="Verdana"/>
              <w:sz w:val="14"/>
              <w:szCs w:val="14"/>
            </w:rPr>
            <w:instrText xml:space="preserve"> PAGE </w:instrText>
          </w:r>
          <w:r w:rsidRPr="006033B8">
            <w:rPr>
              <w:rFonts w:ascii="Verdana" w:hAnsi="Verdana"/>
              <w:sz w:val="14"/>
              <w:szCs w:val="14"/>
            </w:rPr>
            <w:fldChar w:fldCharType="separate"/>
          </w:r>
          <w:r w:rsidR="00600048">
            <w:rPr>
              <w:rFonts w:ascii="Verdana" w:hAnsi="Verdana"/>
              <w:noProof/>
              <w:sz w:val="14"/>
              <w:szCs w:val="14"/>
            </w:rPr>
            <w:t>8</w:t>
          </w:r>
          <w:r w:rsidRPr="006033B8">
            <w:rPr>
              <w:rFonts w:ascii="Verdana" w:hAnsi="Verdana"/>
              <w:sz w:val="14"/>
              <w:szCs w:val="14"/>
            </w:rPr>
            <w:fldChar w:fldCharType="end"/>
          </w:r>
          <w:r w:rsidRPr="006033B8">
            <w:rPr>
              <w:rFonts w:ascii="Verdana" w:hAnsi="Verdana"/>
              <w:sz w:val="14"/>
              <w:szCs w:val="14"/>
            </w:rPr>
            <w:t xml:space="preserve"> of </w:t>
          </w:r>
          <w:r w:rsidRPr="006033B8">
            <w:rPr>
              <w:rFonts w:ascii="Verdana" w:hAnsi="Verdana"/>
              <w:sz w:val="14"/>
              <w:szCs w:val="14"/>
            </w:rPr>
            <w:fldChar w:fldCharType="begin"/>
          </w:r>
          <w:r w:rsidRPr="006033B8">
            <w:rPr>
              <w:rFonts w:ascii="Verdana" w:hAnsi="Verdana"/>
              <w:sz w:val="14"/>
              <w:szCs w:val="14"/>
            </w:rPr>
            <w:instrText xml:space="preserve"> NUMPAGES  </w:instrText>
          </w:r>
          <w:r w:rsidRPr="006033B8">
            <w:rPr>
              <w:rFonts w:ascii="Verdana" w:hAnsi="Verdana"/>
              <w:sz w:val="14"/>
              <w:szCs w:val="14"/>
            </w:rPr>
            <w:fldChar w:fldCharType="separate"/>
          </w:r>
          <w:r w:rsidR="00600048">
            <w:rPr>
              <w:rFonts w:ascii="Verdana" w:hAnsi="Verdana"/>
              <w:noProof/>
              <w:sz w:val="14"/>
              <w:szCs w:val="14"/>
            </w:rPr>
            <w:t>8</w:t>
          </w:r>
          <w:r w:rsidRPr="006033B8">
            <w:rPr>
              <w:rFonts w:ascii="Verdana" w:hAnsi="Verdana"/>
              <w:sz w:val="14"/>
              <w:szCs w:val="14"/>
            </w:rPr>
            <w:fldChar w:fldCharType="end"/>
          </w:r>
          <w:r w:rsidRPr="006033B8">
            <w:rPr>
              <w:rFonts w:ascii="Verdana" w:hAnsi="Verdana"/>
              <w:sz w:val="14"/>
              <w:szCs w:val="14"/>
            </w:rPr>
            <w:br/>
          </w:r>
        </w:p>
      </w:tc>
    </w:tr>
  </w:tbl>
  <w:p w14:paraId="48CEAF71" w14:textId="77777777" w:rsidR="00EE65DB" w:rsidRDefault="00EE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5F246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85629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4A57C3"/>
    <w:multiLevelType w:val="hybridMultilevel"/>
    <w:tmpl w:val="A030D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8E684A"/>
    <w:multiLevelType w:val="hybridMultilevel"/>
    <w:tmpl w:val="504ABE4C"/>
    <w:lvl w:ilvl="0" w:tplc="2578CD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972237"/>
    <w:multiLevelType w:val="hybridMultilevel"/>
    <w:tmpl w:val="C55CF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93F53"/>
    <w:multiLevelType w:val="hybridMultilevel"/>
    <w:tmpl w:val="07A472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6C03DB"/>
    <w:multiLevelType w:val="hybridMultilevel"/>
    <w:tmpl w:val="A9443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2A433A"/>
    <w:multiLevelType w:val="hybridMultilevel"/>
    <w:tmpl w:val="A38E1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C7D15"/>
    <w:multiLevelType w:val="hybridMultilevel"/>
    <w:tmpl w:val="CC4AA9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5B013D"/>
    <w:multiLevelType w:val="hybridMultilevel"/>
    <w:tmpl w:val="62C48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B5B8B"/>
    <w:multiLevelType w:val="hybridMultilevel"/>
    <w:tmpl w:val="CCD2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70D4C"/>
    <w:multiLevelType w:val="hybridMultilevel"/>
    <w:tmpl w:val="44BA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96699"/>
    <w:multiLevelType w:val="hybridMultilevel"/>
    <w:tmpl w:val="A6DE0700"/>
    <w:lvl w:ilvl="0" w:tplc="2578CD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A7258"/>
    <w:multiLevelType w:val="hybridMultilevel"/>
    <w:tmpl w:val="BA6A2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30A10"/>
    <w:multiLevelType w:val="hybridMultilevel"/>
    <w:tmpl w:val="581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16BDA"/>
    <w:multiLevelType w:val="hybridMultilevel"/>
    <w:tmpl w:val="0B6EE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A22E3"/>
    <w:multiLevelType w:val="hybridMultilevel"/>
    <w:tmpl w:val="13EEE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FD4A3D"/>
    <w:multiLevelType w:val="hybridMultilevel"/>
    <w:tmpl w:val="9C866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22DF9"/>
    <w:multiLevelType w:val="hybridMultilevel"/>
    <w:tmpl w:val="AFA4D40A"/>
    <w:lvl w:ilvl="0" w:tplc="2578CD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B05279"/>
    <w:multiLevelType w:val="hybridMultilevel"/>
    <w:tmpl w:val="4948D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83FF7"/>
    <w:multiLevelType w:val="hybridMultilevel"/>
    <w:tmpl w:val="53323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361B1"/>
    <w:multiLevelType w:val="hybridMultilevel"/>
    <w:tmpl w:val="11B6C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D1515"/>
    <w:multiLevelType w:val="hybridMultilevel"/>
    <w:tmpl w:val="504ABE4C"/>
    <w:lvl w:ilvl="0" w:tplc="2578CD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57599"/>
    <w:multiLevelType w:val="hybridMultilevel"/>
    <w:tmpl w:val="683E7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82334"/>
    <w:multiLevelType w:val="hybridMultilevel"/>
    <w:tmpl w:val="8D1E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4199D"/>
    <w:multiLevelType w:val="hybridMultilevel"/>
    <w:tmpl w:val="9CB4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972A6"/>
    <w:multiLevelType w:val="hybridMultilevel"/>
    <w:tmpl w:val="CE9E0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16AFE"/>
    <w:multiLevelType w:val="hybridMultilevel"/>
    <w:tmpl w:val="DC926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570BD"/>
    <w:multiLevelType w:val="hybridMultilevel"/>
    <w:tmpl w:val="83DAAE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2D035B"/>
    <w:multiLevelType w:val="hybridMultilevel"/>
    <w:tmpl w:val="EE6C6AFA"/>
    <w:lvl w:ilvl="0" w:tplc="2578CD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88223E"/>
    <w:multiLevelType w:val="multilevel"/>
    <w:tmpl w:val="792AB7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AB91859"/>
    <w:multiLevelType w:val="hybridMultilevel"/>
    <w:tmpl w:val="8A020EB8"/>
    <w:lvl w:ilvl="0" w:tplc="2578CD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50187"/>
    <w:multiLevelType w:val="hybridMultilevel"/>
    <w:tmpl w:val="9D3A2B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711768"/>
    <w:multiLevelType w:val="hybridMultilevel"/>
    <w:tmpl w:val="E5906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53F74"/>
    <w:multiLevelType w:val="hybridMultilevel"/>
    <w:tmpl w:val="1C5EA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84B6F"/>
    <w:multiLevelType w:val="hybridMultilevel"/>
    <w:tmpl w:val="91BE8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068346">
    <w:abstractNumId w:val="1"/>
  </w:num>
  <w:num w:numId="2" w16cid:durableId="376590031">
    <w:abstractNumId w:val="0"/>
  </w:num>
  <w:num w:numId="3" w16cid:durableId="217327554">
    <w:abstractNumId w:val="30"/>
  </w:num>
  <w:num w:numId="4" w16cid:durableId="310866883">
    <w:abstractNumId w:val="11"/>
  </w:num>
  <w:num w:numId="5" w16cid:durableId="740718108">
    <w:abstractNumId w:val="21"/>
  </w:num>
  <w:num w:numId="6" w16cid:durableId="2139519397">
    <w:abstractNumId w:val="19"/>
  </w:num>
  <w:num w:numId="7" w16cid:durableId="2073656463">
    <w:abstractNumId w:val="13"/>
  </w:num>
  <w:num w:numId="8" w16cid:durableId="867373780">
    <w:abstractNumId w:val="26"/>
  </w:num>
  <w:num w:numId="9" w16cid:durableId="1569001904">
    <w:abstractNumId w:val="14"/>
  </w:num>
  <w:num w:numId="10" w16cid:durableId="820662075">
    <w:abstractNumId w:val="24"/>
  </w:num>
  <w:num w:numId="11" w16cid:durableId="652219369">
    <w:abstractNumId w:val="6"/>
  </w:num>
  <w:num w:numId="12" w16cid:durableId="1023944782">
    <w:abstractNumId w:val="15"/>
  </w:num>
  <w:num w:numId="13" w16cid:durableId="2042587551">
    <w:abstractNumId w:val="25"/>
  </w:num>
  <w:num w:numId="14" w16cid:durableId="2140613177">
    <w:abstractNumId w:val="10"/>
  </w:num>
  <w:num w:numId="15" w16cid:durableId="654915685">
    <w:abstractNumId w:val="33"/>
  </w:num>
  <w:num w:numId="16" w16cid:durableId="551044446">
    <w:abstractNumId w:val="7"/>
  </w:num>
  <w:num w:numId="17" w16cid:durableId="2078940195">
    <w:abstractNumId w:val="23"/>
  </w:num>
  <w:num w:numId="18" w16cid:durableId="1468232683">
    <w:abstractNumId w:val="27"/>
  </w:num>
  <w:num w:numId="19" w16cid:durableId="907807499">
    <w:abstractNumId w:val="35"/>
  </w:num>
  <w:num w:numId="20" w16cid:durableId="754403024">
    <w:abstractNumId w:val="17"/>
  </w:num>
  <w:num w:numId="21" w16cid:durableId="1977489102">
    <w:abstractNumId w:val="9"/>
  </w:num>
  <w:num w:numId="22" w16cid:durableId="366296207">
    <w:abstractNumId w:val="20"/>
  </w:num>
  <w:num w:numId="23" w16cid:durableId="30309305">
    <w:abstractNumId w:val="2"/>
  </w:num>
  <w:num w:numId="24" w16cid:durableId="203368616">
    <w:abstractNumId w:val="34"/>
  </w:num>
  <w:num w:numId="25" w16cid:durableId="1525750366">
    <w:abstractNumId w:val="4"/>
  </w:num>
  <w:num w:numId="26" w16cid:durableId="2060740105">
    <w:abstractNumId w:val="18"/>
  </w:num>
  <w:num w:numId="27" w16cid:durableId="1080641631">
    <w:abstractNumId w:val="3"/>
  </w:num>
  <w:num w:numId="28" w16cid:durableId="521359070">
    <w:abstractNumId w:val="28"/>
  </w:num>
  <w:num w:numId="29" w16cid:durableId="1490513628">
    <w:abstractNumId w:val="8"/>
  </w:num>
  <w:num w:numId="30" w16cid:durableId="1995445508">
    <w:abstractNumId w:val="32"/>
  </w:num>
  <w:num w:numId="31" w16cid:durableId="314265434">
    <w:abstractNumId w:val="29"/>
  </w:num>
  <w:num w:numId="32" w16cid:durableId="2132554186">
    <w:abstractNumId w:val="22"/>
  </w:num>
  <w:num w:numId="33" w16cid:durableId="2126725763">
    <w:abstractNumId w:val="16"/>
  </w:num>
  <w:num w:numId="34" w16cid:durableId="666129321">
    <w:abstractNumId w:val="31"/>
  </w:num>
  <w:num w:numId="35" w16cid:durableId="597494295">
    <w:abstractNumId w:val="12"/>
  </w:num>
  <w:num w:numId="36" w16cid:durableId="1576622775">
    <w:abstractNumId w:val="5"/>
  </w:num>
  <w:num w:numId="37" w16cid:durableId="10079441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phas Masaba">
    <w15:presenceInfo w15:providerId="AD" w15:userId="S::cmasaba@ic.ac.uk::5543cd38-e2e3-4758-96fb-0852578cf6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DB"/>
    <w:rsid w:val="00002205"/>
    <w:rsid w:val="00024E5F"/>
    <w:rsid w:val="0002686F"/>
    <w:rsid w:val="0003234C"/>
    <w:rsid w:val="00036558"/>
    <w:rsid w:val="000379BF"/>
    <w:rsid w:val="000522F7"/>
    <w:rsid w:val="0005754E"/>
    <w:rsid w:val="00067288"/>
    <w:rsid w:val="000676CB"/>
    <w:rsid w:val="00081F70"/>
    <w:rsid w:val="00083B55"/>
    <w:rsid w:val="00096233"/>
    <w:rsid w:val="000A3372"/>
    <w:rsid w:val="000B5BED"/>
    <w:rsid w:val="000B73B3"/>
    <w:rsid w:val="000C06B9"/>
    <w:rsid w:val="000C5337"/>
    <w:rsid w:val="000C5BB7"/>
    <w:rsid w:val="000C73DA"/>
    <w:rsid w:val="000E24A8"/>
    <w:rsid w:val="000E3C86"/>
    <w:rsid w:val="000F05B4"/>
    <w:rsid w:val="00104771"/>
    <w:rsid w:val="00104C67"/>
    <w:rsid w:val="0010729F"/>
    <w:rsid w:val="0011207B"/>
    <w:rsid w:val="0011363B"/>
    <w:rsid w:val="001211B1"/>
    <w:rsid w:val="00135F2D"/>
    <w:rsid w:val="0013669B"/>
    <w:rsid w:val="00161096"/>
    <w:rsid w:val="00170F15"/>
    <w:rsid w:val="00172A30"/>
    <w:rsid w:val="001743C2"/>
    <w:rsid w:val="0017694E"/>
    <w:rsid w:val="00176F3D"/>
    <w:rsid w:val="00181D1E"/>
    <w:rsid w:val="00183D0A"/>
    <w:rsid w:val="001876FC"/>
    <w:rsid w:val="00187E20"/>
    <w:rsid w:val="00190F80"/>
    <w:rsid w:val="0019394B"/>
    <w:rsid w:val="00195494"/>
    <w:rsid w:val="001B1A0E"/>
    <w:rsid w:val="001B7284"/>
    <w:rsid w:val="001E273D"/>
    <w:rsid w:val="001E5371"/>
    <w:rsid w:val="001F25A1"/>
    <w:rsid w:val="001F3626"/>
    <w:rsid w:val="001F4B54"/>
    <w:rsid w:val="001F4B58"/>
    <w:rsid w:val="001F62F7"/>
    <w:rsid w:val="001F6DE5"/>
    <w:rsid w:val="00203BDD"/>
    <w:rsid w:val="00204C32"/>
    <w:rsid w:val="00206B8C"/>
    <w:rsid w:val="00207B84"/>
    <w:rsid w:val="00211DD7"/>
    <w:rsid w:val="002265BC"/>
    <w:rsid w:val="0023043A"/>
    <w:rsid w:val="00232AA9"/>
    <w:rsid w:val="00234E8D"/>
    <w:rsid w:val="00287B0D"/>
    <w:rsid w:val="00291542"/>
    <w:rsid w:val="002916E8"/>
    <w:rsid w:val="002931E8"/>
    <w:rsid w:val="002A3033"/>
    <w:rsid w:val="002A5825"/>
    <w:rsid w:val="002A7114"/>
    <w:rsid w:val="002A78EC"/>
    <w:rsid w:val="002B37E7"/>
    <w:rsid w:val="002B458A"/>
    <w:rsid w:val="002B7115"/>
    <w:rsid w:val="002C40A8"/>
    <w:rsid w:val="002C70F8"/>
    <w:rsid w:val="002E1B7C"/>
    <w:rsid w:val="002F55C2"/>
    <w:rsid w:val="003031B8"/>
    <w:rsid w:val="0030561D"/>
    <w:rsid w:val="00311635"/>
    <w:rsid w:val="0032084F"/>
    <w:rsid w:val="003229F0"/>
    <w:rsid w:val="0033059E"/>
    <w:rsid w:val="003309C5"/>
    <w:rsid w:val="00333BB9"/>
    <w:rsid w:val="00341B56"/>
    <w:rsid w:val="003444B4"/>
    <w:rsid w:val="003448E7"/>
    <w:rsid w:val="00350449"/>
    <w:rsid w:val="00354F99"/>
    <w:rsid w:val="00363716"/>
    <w:rsid w:val="0038005C"/>
    <w:rsid w:val="00383E91"/>
    <w:rsid w:val="003864FD"/>
    <w:rsid w:val="00386716"/>
    <w:rsid w:val="003A5911"/>
    <w:rsid w:val="003A6242"/>
    <w:rsid w:val="003A65DB"/>
    <w:rsid w:val="003A6D77"/>
    <w:rsid w:val="003C2855"/>
    <w:rsid w:val="003C640E"/>
    <w:rsid w:val="003D1CD0"/>
    <w:rsid w:val="003D1D38"/>
    <w:rsid w:val="003D2E5C"/>
    <w:rsid w:val="003D3B5D"/>
    <w:rsid w:val="003D4685"/>
    <w:rsid w:val="003D48DA"/>
    <w:rsid w:val="003D64BA"/>
    <w:rsid w:val="003E2EC1"/>
    <w:rsid w:val="003E44B4"/>
    <w:rsid w:val="003E6B0B"/>
    <w:rsid w:val="003E7DF1"/>
    <w:rsid w:val="003F06BA"/>
    <w:rsid w:val="003F5BAE"/>
    <w:rsid w:val="004020D8"/>
    <w:rsid w:val="0041622E"/>
    <w:rsid w:val="00422428"/>
    <w:rsid w:val="0042585C"/>
    <w:rsid w:val="004342A8"/>
    <w:rsid w:val="00441181"/>
    <w:rsid w:val="00447824"/>
    <w:rsid w:val="004508C7"/>
    <w:rsid w:val="00453E53"/>
    <w:rsid w:val="00454524"/>
    <w:rsid w:val="00454592"/>
    <w:rsid w:val="00456275"/>
    <w:rsid w:val="0046219D"/>
    <w:rsid w:val="004711EC"/>
    <w:rsid w:val="0047405F"/>
    <w:rsid w:val="00476EC8"/>
    <w:rsid w:val="0048425C"/>
    <w:rsid w:val="00484B85"/>
    <w:rsid w:val="00496A00"/>
    <w:rsid w:val="004A0627"/>
    <w:rsid w:val="004A187F"/>
    <w:rsid w:val="004C01FD"/>
    <w:rsid w:val="004E0F36"/>
    <w:rsid w:val="00503411"/>
    <w:rsid w:val="00511F15"/>
    <w:rsid w:val="00512640"/>
    <w:rsid w:val="00514846"/>
    <w:rsid w:val="00544691"/>
    <w:rsid w:val="0055423E"/>
    <w:rsid w:val="0058521F"/>
    <w:rsid w:val="00594571"/>
    <w:rsid w:val="005A7CAF"/>
    <w:rsid w:val="005B6279"/>
    <w:rsid w:val="005B7410"/>
    <w:rsid w:val="005C5168"/>
    <w:rsid w:val="005E57C3"/>
    <w:rsid w:val="005E7E77"/>
    <w:rsid w:val="005F2D91"/>
    <w:rsid w:val="005F318A"/>
    <w:rsid w:val="00600048"/>
    <w:rsid w:val="006033B8"/>
    <w:rsid w:val="00616597"/>
    <w:rsid w:val="00623171"/>
    <w:rsid w:val="00627AD7"/>
    <w:rsid w:val="0063113B"/>
    <w:rsid w:val="00663CA0"/>
    <w:rsid w:val="00666B58"/>
    <w:rsid w:val="0067069C"/>
    <w:rsid w:val="006740E1"/>
    <w:rsid w:val="00682B4E"/>
    <w:rsid w:val="00685E5C"/>
    <w:rsid w:val="0068608C"/>
    <w:rsid w:val="0068716A"/>
    <w:rsid w:val="006917F0"/>
    <w:rsid w:val="006A2DE9"/>
    <w:rsid w:val="006A6A9C"/>
    <w:rsid w:val="006B5FAA"/>
    <w:rsid w:val="006E2F12"/>
    <w:rsid w:val="006F1D6D"/>
    <w:rsid w:val="006F20EF"/>
    <w:rsid w:val="006F785C"/>
    <w:rsid w:val="007010F7"/>
    <w:rsid w:val="00704ADA"/>
    <w:rsid w:val="00713307"/>
    <w:rsid w:val="00722BA9"/>
    <w:rsid w:val="00734B71"/>
    <w:rsid w:val="00742045"/>
    <w:rsid w:val="00752E96"/>
    <w:rsid w:val="00754A19"/>
    <w:rsid w:val="007558C6"/>
    <w:rsid w:val="00766AE6"/>
    <w:rsid w:val="00767407"/>
    <w:rsid w:val="00783460"/>
    <w:rsid w:val="00783EA2"/>
    <w:rsid w:val="007A056E"/>
    <w:rsid w:val="007B1605"/>
    <w:rsid w:val="007B402B"/>
    <w:rsid w:val="007B4798"/>
    <w:rsid w:val="007B569A"/>
    <w:rsid w:val="007B71D3"/>
    <w:rsid w:val="007C4AE2"/>
    <w:rsid w:val="007C7EE7"/>
    <w:rsid w:val="007D37C3"/>
    <w:rsid w:val="007E2510"/>
    <w:rsid w:val="007E35DC"/>
    <w:rsid w:val="007F1154"/>
    <w:rsid w:val="007F261F"/>
    <w:rsid w:val="007F56BC"/>
    <w:rsid w:val="0080278C"/>
    <w:rsid w:val="008047D2"/>
    <w:rsid w:val="00813795"/>
    <w:rsid w:val="00816AD4"/>
    <w:rsid w:val="00820D4C"/>
    <w:rsid w:val="00822A4D"/>
    <w:rsid w:val="008246C2"/>
    <w:rsid w:val="00831BCC"/>
    <w:rsid w:val="00833108"/>
    <w:rsid w:val="00837B9C"/>
    <w:rsid w:val="0084422C"/>
    <w:rsid w:val="00844FBD"/>
    <w:rsid w:val="00846821"/>
    <w:rsid w:val="00862251"/>
    <w:rsid w:val="00864AA8"/>
    <w:rsid w:val="00867128"/>
    <w:rsid w:val="00875E72"/>
    <w:rsid w:val="008808C9"/>
    <w:rsid w:val="00880AD0"/>
    <w:rsid w:val="00885F76"/>
    <w:rsid w:val="00887934"/>
    <w:rsid w:val="00896450"/>
    <w:rsid w:val="008C656F"/>
    <w:rsid w:val="008D1A7C"/>
    <w:rsid w:val="008D481A"/>
    <w:rsid w:val="008D6218"/>
    <w:rsid w:val="008E0AA8"/>
    <w:rsid w:val="008E55D9"/>
    <w:rsid w:val="008E5A2A"/>
    <w:rsid w:val="008F2A48"/>
    <w:rsid w:val="0091668E"/>
    <w:rsid w:val="00917CB8"/>
    <w:rsid w:val="00917D3D"/>
    <w:rsid w:val="009219D7"/>
    <w:rsid w:val="00931838"/>
    <w:rsid w:val="00932404"/>
    <w:rsid w:val="009519BA"/>
    <w:rsid w:val="009704A4"/>
    <w:rsid w:val="00972457"/>
    <w:rsid w:val="00980FE2"/>
    <w:rsid w:val="00981CF5"/>
    <w:rsid w:val="0098788C"/>
    <w:rsid w:val="009A47BD"/>
    <w:rsid w:val="009A5851"/>
    <w:rsid w:val="009D1461"/>
    <w:rsid w:val="009E4397"/>
    <w:rsid w:val="009F00A1"/>
    <w:rsid w:val="00A12C4A"/>
    <w:rsid w:val="00A248BB"/>
    <w:rsid w:val="00A31ABB"/>
    <w:rsid w:val="00A344FE"/>
    <w:rsid w:val="00A36C5D"/>
    <w:rsid w:val="00A43982"/>
    <w:rsid w:val="00A43DBF"/>
    <w:rsid w:val="00A44A92"/>
    <w:rsid w:val="00A4536D"/>
    <w:rsid w:val="00A607EB"/>
    <w:rsid w:val="00A626FA"/>
    <w:rsid w:val="00A72A4E"/>
    <w:rsid w:val="00A72ECA"/>
    <w:rsid w:val="00A76151"/>
    <w:rsid w:val="00A83965"/>
    <w:rsid w:val="00A97233"/>
    <w:rsid w:val="00AA1420"/>
    <w:rsid w:val="00AA1A45"/>
    <w:rsid w:val="00AA6E66"/>
    <w:rsid w:val="00AC2176"/>
    <w:rsid w:val="00AE5317"/>
    <w:rsid w:val="00AE65B7"/>
    <w:rsid w:val="00AE75EF"/>
    <w:rsid w:val="00AF3648"/>
    <w:rsid w:val="00AF49E5"/>
    <w:rsid w:val="00AF64F3"/>
    <w:rsid w:val="00B1063D"/>
    <w:rsid w:val="00B12D0B"/>
    <w:rsid w:val="00B14A48"/>
    <w:rsid w:val="00B23357"/>
    <w:rsid w:val="00B25821"/>
    <w:rsid w:val="00B319B2"/>
    <w:rsid w:val="00B32B99"/>
    <w:rsid w:val="00B3538C"/>
    <w:rsid w:val="00B4260F"/>
    <w:rsid w:val="00B4757B"/>
    <w:rsid w:val="00B651FD"/>
    <w:rsid w:val="00B6688A"/>
    <w:rsid w:val="00B6767E"/>
    <w:rsid w:val="00B70B69"/>
    <w:rsid w:val="00B840BF"/>
    <w:rsid w:val="00BA5B94"/>
    <w:rsid w:val="00BA6702"/>
    <w:rsid w:val="00BB5986"/>
    <w:rsid w:val="00BC683D"/>
    <w:rsid w:val="00BD6F22"/>
    <w:rsid w:val="00BE020A"/>
    <w:rsid w:val="00BE23CE"/>
    <w:rsid w:val="00BE7686"/>
    <w:rsid w:val="00BF415A"/>
    <w:rsid w:val="00C029CC"/>
    <w:rsid w:val="00C02AC4"/>
    <w:rsid w:val="00C02ECD"/>
    <w:rsid w:val="00C14ACE"/>
    <w:rsid w:val="00C40CF5"/>
    <w:rsid w:val="00C427C1"/>
    <w:rsid w:val="00C42D65"/>
    <w:rsid w:val="00C4524A"/>
    <w:rsid w:val="00C535A2"/>
    <w:rsid w:val="00C548E5"/>
    <w:rsid w:val="00C82E1A"/>
    <w:rsid w:val="00CA1177"/>
    <w:rsid w:val="00CA4D27"/>
    <w:rsid w:val="00CA52FF"/>
    <w:rsid w:val="00CB15E2"/>
    <w:rsid w:val="00CB446A"/>
    <w:rsid w:val="00CB6F03"/>
    <w:rsid w:val="00CB7878"/>
    <w:rsid w:val="00CC0BA6"/>
    <w:rsid w:val="00CC1600"/>
    <w:rsid w:val="00CD6141"/>
    <w:rsid w:val="00CE0164"/>
    <w:rsid w:val="00CE20CF"/>
    <w:rsid w:val="00CF2C37"/>
    <w:rsid w:val="00CF3E28"/>
    <w:rsid w:val="00CF53C8"/>
    <w:rsid w:val="00D000A9"/>
    <w:rsid w:val="00D00B5F"/>
    <w:rsid w:val="00D13707"/>
    <w:rsid w:val="00D14702"/>
    <w:rsid w:val="00D16CBA"/>
    <w:rsid w:val="00D300CA"/>
    <w:rsid w:val="00D341D0"/>
    <w:rsid w:val="00D64D21"/>
    <w:rsid w:val="00D71229"/>
    <w:rsid w:val="00D76A97"/>
    <w:rsid w:val="00D8458E"/>
    <w:rsid w:val="00D87564"/>
    <w:rsid w:val="00D977E0"/>
    <w:rsid w:val="00DB097B"/>
    <w:rsid w:val="00DB1315"/>
    <w:rsid w:val="00DB415D"/>
    <w:rsid w:val="00DB6728"/>
    <w:rsid w:val="00DB76D3"/>
    <w:rsid w:val="00DC2F81"/>
    <w:rsid w:val="00DC6F59"/>
    <w:rsid w:val="00DD0B97"/>
    <w:rsid w:val="00DD0D7F"/>
    <w:rsid w:val="00DE069B"/>
    <w:rsid w:val="00E07D63"/>
    <w:rsid w:val="00E10D86"/>
    <w:rsid w:val="00E119B3"/>
    <w:rsid w:val="00E12092"/>
    <w:rsid w:val="00E341CA"/>
    <w:rsid w:val="00E44B30"/>
    <w:rsid w:val="00E4504A"/>
    <w:rsid w:val="00E475BD"/>
    <w:rsid w:val="00E56811"/>
    <w:rsid w:val="00E6156F"/>
    <w:rsid w:val="00E64AEB"/>
    <w:rsid w:val="00E75436"/>
    <w:rsid w:val="00E76344"/>
    <w:rsid w:val="00E76FEC"/>
    <w:rsid w:val="00E85213"/>
    <w:rsid w:val="00E85371"/>
    <w:rsid w:val="00E9561C"/>
    <w:rsid w:val="00E9664C"/>
    <w:rsid w:val="00EA2EAA"/>
    <w:rsid w:val="00EA6530"/>
    <w:rsid w:val="00EB7F9C"/>
    <w:rsid w:val="00EC18E4"/>
    <w:rsid w:val="00ED1476"/>
    <w:rsid w:val="00ED4E2F"/>
    <w:rsid w:val="00EE65DB"/>
    <w:rsid w:val="00EF250D"/>
    <w:rsid w:val="00EF64E0"/>
    <w:rsid w:val="00EF7BA4"/>
    <w:rsid w:val="00F22561"/>
    <w:rsid w:val="00F22BA8"/>
    <w:rsid w:val="00F35691"/>
    <w:rsid w:val="00F413EF"/>
    <w:rsid w:val="00F44185"/>
    <w:rsid w:val="00F47D32"/>
    <w:rsid w:val="00F513F2"/>
    <w:rsid w:val="00F52F68"/>
    <w:rsid w:val="00F547F1"/>
    <w:rsid w:val="00F66C69"/>
    <w:rsid w:val="00F70111"/>
    <w:rsid w:val="00F70BCC"/>
    <w:rsid w:val="00F80059"/>
    <w:rsid w:val="00F803AF"/>
    <w:rsid w:val="00F86B68"/>
    <w:rsid w:val="00F908D4"/>
    <w:rsid w:val="00F91D3F"/>
    <w:rsid w:val="00F96A05"/>
    <w:rsid w:val="00F973FB"/>
    <w:rsid w:val="00FA09FC"/>
    <w:rsid w:val="00FA2DAE"/>
    <w:rsid w:val="00FA76CA"/>
    <w:rsid w:val="00FB3DEC"/>
    <w:rsid w:val="00FB5ABE"/>
    <w:rsid w:val="00FB5BBA"/>
    <w:rsid w:val="00FD1DDA"/>
    <w:rsid w:val="00FD744A"/>
    <w:rsid w:val="00FE1467"/>
    <w:rsid w:val="00FE332B"/>
    <w:rsid w:val="00FF1E02"/>
    <w:rsid w:val="019F369E"/>
    <w:rsid w:val="13CF6D76"/>
    <w:rsid w:val="27BB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B1CC"/>
  <w15:docId w15:val="{C4BE7D5C-AA5A-441F-B7DA-ADA263E8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95"/>
    <w:pPr>
      <w:spacing w:after="200" w:line="276" w:lineRule="auto"/>
    </w:pPr>
    <w:rPr>
      <w:rFonts w:ascii="Century Gothic" w:hAnsi="Century Gothic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795"/>
    <w:pPr>
      <w:keepNext/>
      <w:keepLines/>
      <w:numPr>
        <w:numId w:val="3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ListNumber"/>
    <w:next w:val="Normal"/>
    <w:link w:val="Heading2Char"/>
    <w:uiPriority w:val="9"/>
    <w:unhideWhenUsed/>
    <w:qFormat/>
    <w:rsid w:val="007E35DC"/>
    <w:pPr>
      <w:keepNext/>
      <w:keepLines/>
      <w:numPr>
        <w:ilvl w:val="1"/>
        <w:numId w:val="3"/>
      </w:numPr>
      <w:spacing w:before="200" w:after="0"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ListNumber"/>
    <w:next w:val="Normal"/>
    <w:link w:val="Heading3Char"/>
    <w:uiPriority w:val="9"/>
    <w:unhideWhenUsed/>
    <w:qFormat/>
    <w:rsid w:val="001F4B54"/>
    <w:pPr>
      <w:keepNext/>
      <w:keepLines/>
      <w:numPr>
        <w:ilvl w:val="2"/>
        <w:numId w:val="3"/>
      </w:numPr>
      <w:spacing w:before="200" w:after="0"/>
      <w:outlineLvl w:val="2"/>
    </w:pPr>
    <w:rPr>
      <w:rFonts w:eastAsia="Times New Roman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5DC"/>
    <w:pPr>
      <w:keepNext/>
      <w:keepLines/>
      <w:numPr>
        <w:ilvl w:val="3"/>
        <w:numId w:val="3"/>
      </w:numPr>
      <w:spacing w:before="200" w:after="0"/>
      <w:outlineLvl w:val="3"/>
    </w:pPr>
    <w:rPr>
      <w:rFonts w:eastAsia="Times New Roman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B54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B54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B54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B54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B54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DB"/>
  </w:style>
  <w:style w:type="paragraph" w:styleId="Footer">
    <w:name w:val="footer"/>
    <w:basedOn w:val="Normal"/>
    <w:link w:val="FooterChar"/>
    <w:uiPriority w:val="99"/>
    <w:unhideWhenUsed/>
    <w:rsid w:val="00EE6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DB"/>
  </w:style>
  <w:style w:type="paragraph" w:styleId="BalloonText">
    <w:name w:val="Balloon Text"/>
    <w:basedOn w:val="Normal"/>
    <w:link w:val="BalloonTextChar"/>
    <w:uiPriority w:val="99"/>
    <w:semiHidden/>
    <w:unhideWhenUsed/>
    <w:rsid w:val="00EE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65D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E65DB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E65DB"/>
    <w:rPr>
      <w:rFonts w:eastAsia="Times New Roman"/>
      <w:sz w:val="22"/>
      <w:szCs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813795"/>
    <w:rPr>
      <w:rFonts w:ascii="Century Gothic" w:eastAsia="Times New Roman" w:hAnsi="Century Gothic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7E35DC"/>
    <w:rPr>
      <w:rFonts w:ascii="Century Gothic" w:eastAsia="Times New Roman" w:hAnsi="Century Gothic"/>
      <w:b/>
      <w:bCs/>
      <w:sz w:val="24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1379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1F4B54"/>
    <w:rPr>
      <w:rFonts w:ascii="Century Gothic" w:eastAsia="Times New Roman" w:hAnsi="Century Gothic"/>
      <w:b/>
      <w:bCs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7E35DC"/>
    <w:rPr>
      <w:rFonts w:ascii="Century Gothic" w:eastAsia="Times New Roman" w:hAnsi="Century Gothic"/>
      <w:b/>
      <w:bCs/>
      <w:i/>
      <w:iCs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0CF5"/>
    <w:pPr>
      <w:outlineLvl w:val="9"/>
    </w:pPr>
    <w:rPr>
      <w:rFonts w:ascii="Cambria" w:hAnsi="Cambria"/>
      <w:color w:val="365F9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40CF5"/>
    <w:pPr>
      <w:spacing w:after="100"/>
    </w:pPr>
  </w:style>
  <w:style w:type="paragraph" w:styleId="ListNumber">
    <w:name w:val="List Number"/>
    <w:basedOn w:val="Normal"/>
    <w:uiPriority w:val="99"/>
    <w:unhideWhenUsed/>
    <w:rsid w:val="007E35DC"/>
    <w:pPr>
      <w:numPr>
        <w:numId w:val="1"/>
      </w:numPr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C40CF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40CF5"/>
    <w:pPr>
      <w:spacing w:after="100"/>
      <w:ind w:left="400"/>
    </w:pPr>
  </w:style>
  <w:style w:type="character" w:styleId="Hyperlink">
    <w:name w:val="Hyperlink"/>
    <w:uiPriority w:val="99"/>
    <w:unhideWhenUsed/>
    <w:rsid w:val="00C40CF5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1F4B54"/>
    <w:rPr>
      <w:rFonts w:ascii="Cambria" w:eastAsia="Times New Roman" w:hAnsi="Cambria"/>
      <w:color w:val="243F60"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1F4B54"/>
    <w:rPr>
      <w:rFonts w:ascii="Cambria" w:eastAsia="Times New Roman" w:hAnsi="Cambria"/>
      <w:i/>
      <w:iCs/>
      <w:color w:val="243F60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F4B54"/>
    <w:rPr>
      <w:rFonts w:ascii="Cambria" w:eastAsia="Times New Roman" w:hAnsi="Cambria"/>
      <w:i/>
      <w:iCs/>
      <w:color w:val="404040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1F4B54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1F4B54"/>
    <w:rPr>
      <w:rFonts w:ascii="Cambria" w:eastAsia="Times New Roman" w:hAnsi="Cambria"/>
      <w:i/>
      <w:iCs/>
      <w:color w:val="40404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F3E28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leChar">
    <w:name w:val="Title Char"/>
    <w:link w:val="Title"/>
    <w:uiPriority w:val="10"/>
    <w:rsid w:val="00CF3E28"/>
    <w:rPr>
      <w:rFonts w:ascii="Century Gothic" w:eastAsia="Times New Roman" w:hAnsi="Century Gothic" w:cs="Times New Roman"/>
      <w:b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59"/>
    <w:rsid w:val="0018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ListNumber"/>
    <w:next w:val="ListNumber"/>
    <w:uiPriority w:val="34"/>
    <w:qFormat/>
    <w:rsid w:val="007D37C3"/>
    <w:pPr>
      <w:ind w:left="720"/>
    </w:pPr>
  </w:style>
  <w:style w:type="character" w:styleId="CommentReference">
    <w:name w:val="annotation reference"/>
    <w:uiPriority w:val="99"/>
    <w:semiHidden/>
    <w:unhideWhenUsed/>
    <w:rsid w:val="00916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68E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668E"/>
    <w:rPr>
      <w:rFonts w:ascii="Century Gothic" w:hAnsi="Century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668E"/>
    <w:rPr>
      <w:rFonts w:ascii="Century Gothic" w:hAnsi="Century Gothic"/>
      <w:b/>
      <w:bCs/>
      <w:lang w:val="en-GB"/>
    </w:rPr>
  </w:style>
  <w:style w:type="paragraph" w:styleId="Revision">
    <w:name w:val="Revision"/>
    <w:hidden/>
    <w:uiPriority w:val="99"/>
    <w:semiHidden/>
    <w:rsid w:val="00AE75EF"/>
    <w:rPr>
      <w:rFonts w:ascii="Century Gothic" w:hAnsi="Century Gothic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70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finance/financial-services/controls--compliance/pci-dss/incident-reportin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581938-aaa6-48f1-a8e7-9621bfb675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CC75529FAA34B987F048466488DEE" ma:contentTypeVersion="16" ma:contentTypeDescription="Create a new document." ma:contentTypeScope="" ma:versionID="58130ed1560ed8986ac90936b622fc80">
  <xsd:schema xmlns:xsd="http://www.w3.org/2001/XMLSchema" xmlns:xs="http://www.w3.org/2001/XMLSchema" xmlns:p="http://schemas.microsoft.com/office/2006/metadata/properties" xmlns:ns3="aa581938-aaa6-48f1-a8e7-9621bfb675f9" xmlns:ns4="d8630c02-d2e0-4840-9905-f8c4ead66a0b" targetNamespace="http://schemas.microsoft.com/office/2006/metadata/properties" ma:root="true" ma:fieldsID="64e04bbff744b8a74afd8bc9707faf32" ns3:_="" ns4:_="">
    <xsd:import namespace="aa581938-aaa6-48f1-a8e7-9621bfb675f9"/>
    <xsd:import namespace="d8630c02-d2e0-4840-9905-f8c4ead66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938-aaa6-48f1-a8e7-9621bfb67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0c02-d2e0-4840-9905-f8c4ead66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A25CE-4240-40E8-931F-148884390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BABAF-A0B7-4E59-B747-6B484192FE73}">
  <ds:schemaRefs>
    <ds:schemaRef ds:uri="http://schemas.microsoft.com/office/2006/metadata/properties"/>
    <ds:schemaRef ds:uri="http://schemas.microsoft.com/office/infopath/2007/PartnerControls"/>
    <ds:schemaRef ds:uri="aa581938-aaa6-48f1-a8e7-9621bfb675f9"/>
  </ds:schemaRefs>
</ds:datastoreItem>
</file>

<file path=customXml/itemProps3.xml><?xml version="1.0" encoding="utf-8"?>
<ds:datastoreItem xmlns:ds="http://schemas.openxmlformats.org/officeDocument/2006/customXml" ds:itemID="{0974242D-F104-4933-8196-9C683B6FF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C697CF-3667-4CF6-AF9B-972680BC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938-aaa6-48f1-a8e7-9621bfb675f9"/>
    <ds:schemaRef ds:uri="d8630c02-d2e0-4840-9905-f8c4ead6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Security Management System</vt:lpstr>
    </vt:vector>
  </TitlesOfParts>
  <Company/>
  <LinksUpToDate>false</LinksUpToDate>
  <CharactersWithSpaces>10717</CharactersWithSpaces>
  <SharedDoc>false</SharedDoc>
  <HLinks>
    <vt:vector size="72" baseType="variant">
      <vt:variant>
        <vt:i4>6815798</vt:i4>
      </vt:variant>
      <vt:variant>
        <vt:i4>69</vt:i4>
      </vt:variant>
      <vt:variant>
        <vt:i4>0</vt:i4>
      </vt:variant>
      <vt:variant>
        <vt:i4>5</vt:i4>
      </vt:variant>
      <vt:variant>
        <vt:lpwstr>https://www.imperial.ac.uk/finance/financial-services/controls--compliance/pci-dss/incident-reporting/</vt:lpwstr>
      </vt:variant>
      <vt:variant>
        <vt:lpwstr/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_Toc71706007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_Toc71706006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_Toc71706005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_Toc71706004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_Toc71706003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_Toc71706002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_Toc71706001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_Toc71706000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_Toc71705999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_Toc71705998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_Toc71705997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Security Management System</dc:title>
  <dc:subject>Implementation Guide</dc:subject>
  <dc:creator>WPM Payment Security</dc:creator>
  <cp:keywords/>
  <dc:description/>
  <cp:lastModifiedBy>Jones, Gavin A</cp:lastModifiedBy>
  <cp:revision>4</cp:revision>
  <cp:lastPrinted>2021-05-12T17:32:00Z</cp:lastPrinted>
  <dcterms:created xsi:type="dcterms:W3CDTF">2025-05-23T13:18:00Z</dcterms:created>
  <dcterms:modified xsi:type="dcterms:W3CDTF">2025-05-23T13:19:00Z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0x010100091CC75529FAA34B987F048466488DEE</vt:lpwstr>
  </property>
</Properties>
</file>